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116C7" w14:textId="77777777" w:rsidR="00D31B21" w:rsidRPr="00684300" w:rsidRDefault="00D31B21" w:rsidP="00684300">
      <w:pPr>
        <w:pStyle w:val="p1"/>
        <w:spacing w:before="0" w:beforeAutospacing="0" w:after="0" w:afterAutospacing="0"/>
        <w:jc w:val="center"/>
        <w:rPr>
          <w:b/>
          <w:bCs/>
          <w:sz w:val="28"/>
          <w:szCs w:val="28"/>
        </w:rPr>
      </w:pPr>
      <w:r w:rsidRPr="00684300">
        <w:rPr>
          <w:b/>
          <w:bCs/>
          <w:sz w:val="28"/>
          <w:szCs w:val="28"/>
        </w:rPr>
        <w:t>АННОТАЦИЯ</w:t>
      </w:r>
    </w:p>
    <w:p w14:paraId="6FFC9D68" w14:textId="0AD28666" w:rsidR="00D31B21" w:rsidRPr="00595BA7" w:rsidRDefault="00D31B21" w:rsidP="00595BA7">
      <w:pPr>
        <w:pStyle w:val="p1"/>
        <w:jc w:val="center"/>
      </w:pPr>
      <w:r w:rsidRPr="00684300">
        <w:rPr>
          <w:b/>
          <w:bCs/>
          <w:sz w:val="28"/>
          <w:szCs w:val="28"/>
        </w:rPr>
        <w:t xml:space="preserve">философия докторы (PhD) дәрежесін алу үшін </w:t>
      </w:r>
      <w:r w:rsidR="00684300" w:rsidRPr="00684300">
        <w:rPr>
          <w:b/>
          <w:bCs/>
          <w:color w:val="0E0E0E"/>
          <w:sz w:val="28"/>
          <w:szCs w:val="28"/>
        </w:rPr>
        <w:t>ұсынылған</w:t>
      </w:r>
      <w:r w:rsidRPr="00684300">
        <w:rPr>
          <w:b/>
          <w:bCs/>
          <w:sz w:val="28"/>
          <w:szCs w:val="28"/>
        </w:rPr>
        <w:t xml:space="preserve"> диссертацияға «Қазақстан Республикасында дәрілік заттардың қолжетімділігін зерттеу үшін әдістемелік тәсілдерді оңтайландыру» тақырыбында </w:t>
      </w:r>
      <w:r w:rsidR="002F296D">
        <w:rPr>
          <w:b/>
          <w:bCs/>
          <w:sz w:val="28"/>
          <w:szCs w:val="28"/>
          <w:lang w:val="ru-RU"/>
        </w:rPr>
        <w:t>«</w:t>
      </w:r>
      <w:r w:rsidRPr="00684300">
        <w:rPr>
          <w:b/>
          <w:bCs/>
          <w:sz w:val="28"/>
          <w:szCs w:val="28"/>
        </w:rPr>
        <w:t xml:space="preserve">8D10103 –Қоғамдық денсаулық сақтау» </w:t>
      </w:r>
      <w:r w:rsidR="00595BA7" w:rsidRPr="00595BA7">
        <w:rPr>
          <w:b/>
          <w:bCs/>
          <w:sz w:val="28"/>
          <w:szCs w:val="28"/>
        </w:rPr>
        <w:t>білім беру бағдарламасы</w:t>
      </w:r>
      <w:r w:rsidRPr="00684300">
        <w:rPr>
          <w:b/>
          <w:bCs/>
          <w:sz w:val="28"/>
          <w:szCs w:val="28"/>
        </w:rPr>
        <w:t xml:space="preserve"> бойынша </w:t>
      </w:r>
      <w:r w:rsidR="007A4FED" w:rsidRPr="00595BA7">
        <w:rPr>
          <w:b/>
          <w:bCs/>
          <w:sz w:val="28"/>
          <w:szCs w:val="28"/>
        </w:rPr>
        <w:t>Ибра</w:t>
      </w:r>
      <w:r w:rsidR="007A4FED" w:rsidRPr="00E45FC4">
        <w:rPr>
          <w:b/>
          <w:bCs/>
          <w:sz w:val="28"/>
          <w:szCs w:val="28"/>
        </w:rPr>
        <w:t>ева</w:t>
      </w:r>
      <w:r w:rsidR="007A4FED" w:rsidRPr="00684300">
        <w:rPr>
          <w:b/>
          <w:bCs/>
          <w:sz w:val="28"/>
          <w:szCs w:val="28"/>
        </w:rPr>
        <w:t xml:space="preserve"> </w:t>
      </w:r>
      <w:r w:rsidRPr="00684300">
        <w:rPr>
          <w:b/>
          <w:bCs/>
          <w:sz w:val="28"/>
          <w:szCs w:val="28"/>
        </w:rPr>
        <w:t>Динара Елуба</w:t>
      </w:r>
      <w:proofErr w:type="spellStart"/>
      <w:r w:rsidR="003834EA">
        <w:rPr>
          <w:b/>
          <w:bCs/>
          <w:sz w:val="28"/>
          <w:szCs w:val="28"/>
          <w:lang w:val="ru-RU"/>
        </w:rPr>
        <w:t>евна</w:t>
      </w:r>
      <w:proofErr w:type="spellEnd"/>
      <w:r w:rsidRPr="00684300">
        <w:rPr>
          <w:b/>
          <w:bCs/>
          <w:sz w:val="28"/>
          <w:szCs w:val="28"/>
        </w:rPr>
        <w:t xml:space="preserve"> орындаған</w:t>
      </w:r>
    </w:p>
    <w:p w14:paraId="2156E572" w14:textId="77777777" w:rsidR="00D31B21" w:rsidRPr="000B63D5" w:rsidRDefault="00617C8D" w:rsidP="00336AEB">
      <w:pPr>
        <w:pStyle w:val="Default"/>
        <w:ind w:firstLine="720"/>
        <w:jc w:val="both"/>
        <w:rPr>
          <w:b/>
          <w:bCs/>
          <w:sz w:val="28"/>
          <w:szCs w:val="28"/>
        </w:rPr>
      </w:pPr>
      <w:r w:rsidRPr="00617C8D">
        <w:rPr>
          <w:b/>
          <w:bCs/>
          <w:sz w:val="28"/>
          <w:szCs w:val="28"/>
        </w:rPr>
        <w:t>Тақырыптың өзектілігі</w:t>
      </w:r>
    </w:p>
    <w:p w14:paraId="64FD04AD" w14:textId="59DBD9FB" w:rsidR="00D85C09" w:rsidRPr="000B63D5" w:rsidRDefault="00D85C09" w:rsidP="00D85C09">
      <w:pPr>
        <w:pStyle w:val="p1"/>
        <w:spacing w:before="0" w:beforeAutospacing="0" w:after="0" w:afterAutospacing="0"/>
        <w:ind w:firstLine="720"/>
        <w:jc w:val="both"/>
        <w:rPr>
          <w:sz w:val="28"/>
          <w:szCs w:val="28"/>
        </w:rPr>
      </w:pPr>
      <w:r w:rsidRPr="00D85C09">
        <w:rPr>
          <w:sz w:val="28"/>
          <w:szCs w:val="28"/>
        </w:rPr>
        <w:t>Халықаралық деңгейде дәрілік заттардың қолжетімділігін қамтамасыз ету Біріккен Ұлттар Ұйымының Тұрақты даму мақсаты 3-ке қол жеткізудің негізгі бағдарларының бірі ретінде танылған. Аталған мақсат денсаулық сақтау қызметтерімен жалпыға бірдей қамтуды және халықтың қауіпсіз, тиімді әрі сапалы дәрілік препараттарға қол жеткізуін қамтамасыз етуге бағытталған (</w:t>
      </w:r>
      <w:r w:rsidR="009A5F8B" w:rsidRPr="009B7218">
        <w:rPr>
          <w:sz w:val="28"/>
          <w:szCs w:val="28"/>
        </w:rPr>
        <w:t>UN SDG Report</w:t>
      </w:r>
      <w:r w:rsidRPr="00D85C09">
        <w:rPr>
          <w:sz w:val="28"/>
          <w:szCs w:val="28"/>
        </w:rPr>
        <w:t>, 2019).</w:t>
      </w:r>
    </w:p>
    <w:p w14:paraId="59A93BA9" w14:textId="77777777" w:rsidR="00D85C09" w:rsidRPr="00D85C09" w:rsidRDefault="00D85C09" w:rsidP="00D85C09">
      <w:pPr>
        <w:pStyle w:val="p1"/>
        <w:spacing w:before="0" w:beforeAutospacing="0" w:after="0" w:afterAutospacing="0"/>
        <w:ind w:firstLine="720"/>
        <w:jc w:val="both"/>
        <w:rPr>
          <w:sz w:val="28"/>
          <w:szCs w:val="28"/>
        </w:rPr>
      </w:pPr>
      <w:r w:rsidRPr="00D85C09">
        <w:rPr>
          <w:sz w:val="28"/>
          <w:szCs w:val="28"/>
        </w:rPr>
        <w:t>Қазақстан Республикасы Президенті Қасым-Жомарт Тоқаевтың «Әділетті мемлекет. Біртұтас ұлт. Берекелі қоғам» атты Қазақстан халқына Жолдауында (2022 жылғы 1 қыркүйек) мемлекеттің басты құндылығы – адам екендігі, ал халықтың өмір сүру сапасы мен денсаулығын арттыру үшін жағдай жасау – елдің орнықты дамуының стратегиялық міндеті екендігі атап көрсетілген (ҚР Президентінің Қазақстан халқына Жолдауы, 2022). Осы тұрғыда дәрілік заттардың қолжетімділігі (ДЗ) қоғамдық денсаулық деңгейі мен азаматтардың әлеуметтік әл-ауқатына тікелей әсер ететін денсаулық сақтау жүйесінің тиімділігінің негізгі құрамдас бөлігі ретінде қарастырылады.</w:t>
      </w:r>
    </w:p>
    <w:p w14:paraId="7EEAF1A3" w14:textId="77777777" w:rsidR="00D85C09" w:rsidRPr="00D85C09" w:rsidRDefault="00D85C09" w:rsidP="00D85C09">
      <w:pPr>
        <w:pStyle w:val="p1"/>
        <w:spacing w:before="0" w:beforeAutospacing="0" w:after="0" w:afterAutospacing="0"/>
        <w:ind w:firstLine="720"/>
        <w:jc w:val="both"/>
        <w:rPr>
          <w:sz w:val="28"/>
          <w:szCs w:val="28"/>
        </w:rPr>
      </w:pPr>
      <w:r w:rsidRPr="00D85C09">
        <w:rPr>
          <w:sz w:val="28"/>
          <w:szCs w:val="28"/>
        </w:rPr>
        <w:t>Денсаулық сақтау жүйесінің орнықты дамуы контекстінде түпнұсқа препараттарға экономикалық тұрғыдан қолжетімді балама болып табылатын қайта өндірілген дәрілік препараттар (дженериктер) ерекше маңызға ие (AAM Report, 2021). Алайда дженериктерді ұтымды қолдануға дәрігерлер мен пациенттер арасындағы ақпараттану деңгейінің төмендігі кедергі келтіруі мүмкін, бұл олардың ақпараттық қолжетімділігі мен сенім деңгейін зерттеу қажеттігін айқындайды (Mostafa et al., 2021).</w:t>
      </w:r>
    </w:p>
    <w:p w14:paraId="66F4CF98" w14:textId="0618F43F" w:rsidR="00D85C09" w:rsidRPr="000B63D5" w:rsidRDefault="00D85C09" w:rsidP="00D85C09">
      <w:pPr>
        <w:pStyle w:val="p1"/>
        <w:spacing w:before="0" w:beforeAutospacing="0" w:after="0" w:afterAutospacing="0"/>
        <w:ind w:firstLine="720"/>
        <w:jc w:val="both"/>
        <w:rPr>
          <w:sz w:val="28"/>
          <w:szCs w:val="28"/>
        </w:rPr>
      </w:pPr>
      <w:r w:rsidRPr="00D85C09">
        <w:rPr>
          <w:sz w:val="28"/>
          <w:szCs w:val="28"/>
        </w:rPr>
        <w:t>Сонымен қатар, қымбат тұратын дәрілік заттардың, әсіресе сирек (орфандық) ауруларды емдеуге арналған препараттардың физикалық және экономикалық қолжетімділігіне қатысты мәселелер өзекті күйінде қалып отыр. 2023 жылы аталған санаттағы препараттарды қаржыландыру көлемі 94 млрд теңгеге жетті (СК-Фармация, 2023; ҚР ДСМ, 2024). Бұл ретте орфандық ауруларды емдеуге арналған препараттардың нарықтағы ұсынылу деңгейі мен олардың бағалық көрсеткіштері жеткілікті дәрежеде зерттелмеген, сондықтан осы санаттағы дәрілік заттардың физикалық және экономикалық қолжетімділігін талдау қажеттілігі туындайды.</w:t>
      </w:r>
    </w:p>
    <w:p w14:paraId="58CCEF55" w14:textId="77777777" w:rsidR="00D85C09" w:rsidRPr="00D85C09" w:rsidRDefault="00D85C09" w:rsidP="00D85C09">
      <w:pPr>
        <w:pStyle w:val="p1"/>
        <w:spacing w:before="0" w:beforeAutospacing="0" w:after="0" w:afterAutospacing="0"/>
        <w:ind w:firstLine="720"/>
        <w:jc w:val="both"/>
        <w:rPr>
          <w:sz w:val="28"/>
          <w:szCs w:val="28"/>
        </w:rPr>
      </w:pPr>
      <w:r w:rsidRPr="00D85C09">
        <w:rPr>
          <w:sz w:val="28"/>
          <w:szCs w:val="28"/>
        </w:rPr>
        <w:t xml:space="preserve">Денсаулық сақтау жүйесіне түсетін жоғары қаржылық жүктеме және ресурстарды ұтымды бөлу қажеттілігі жағдайында дәрілік заттардың қолжетімділігін зерттеудің ғылыми негізделген әдістемелік тәсілдерін қалыптастыру ерекше маңызға ие. Бұл өз кезегінде Қазақстан Республикасының әлеуметтік-экономикалық және институционалдық </w:t>
      </w:r>
      <w:r w:rsidRPr="00D85C09">
        <w:rPr>
          <w:sz w:val="28"/>
          <w:szCs w:val="28"/>
        </w:rPr>
        <w:lastRenderedPageBreak/>
        <w:t>ерекшеліктерін ескере отырып, аталған тәсілдерді оңтайландыру қажеттігін айқындайды.</w:t>
      </w:r>
    </w:p>
    <w:p w14:paraId="1585AFDB" w14:textId="77777777" w:rsidR="00D85C09" w:rsidRPr="00D85C09" w:rsidRDefault="00D85C09" w:rsidP="00D85C09">
      <w:pPr>
        <w:pStyle w:val="p1"/>
        <w:spacing w:before="0" w:beforeAutospacing="0" w:after="0" w:afterAutospacing="0"/>
        <w:ind w:firstLine="720"/>
        <w:jc w:val="both"/>
        <w:rPr>
          <w:sz w:val="28"/>
          <w:szCs w:val="28"/>
        </w:rPr>
      </w:pPr>
      <w:r w:rsidRPr="00D85C09">
        <w:rPr>
          <w:sz w:val="28"/>
          <w:szCs w:val="28"/>
        </w:rPr>
        <w:t>Осылайша, дәрілік заттардың қолжетімділігін зерттеудің әдістемелік тәсілдерін оңтайландыру тек ғылыми мәселе ғана емес, сонымен қатар ұлттық басымдықтар мен жаһандық орнықты даму мақсаттарына сәйкес халықты дәрілік заттармен қамтамасыз ету тетіктерін жетілдіруге бағытталған практикалық қажеттілік болып табылады.</w:t>
      </w:r>
    </w:p>
    <w:p w14:paraId="432C6E61" w14:textId="20738A93" w:rsidR="00FB0397" w:rsidRPr="00812301" w:rsidRDefault="00617C8D" w:rsidP="00812301">
      <w:pPr>
        <w:pStyle w:val="p1"/>
        <w:spacing w:before="0" w:beforeAutospacing="0" w:after="0" w:afterAutospacing="0"/>
        <w:jc w:val="both"/>
        <w:rPr>
          <w:sz w:val="28"/>
          <w:szCs w:val="28"/>
        </w:rPr>
      </w:pPr>
      <w:r w:rsidRPr="00812301">
        <w:rPr>
          <w:b/>
          <w:bCs/>
          <w:sz w:val="28"/>
          <w:szCs w:val="28"/>
        </w:rPr>
        <w:t>Зерттеудің мақсаты</w:t>
      </w:r>
      <w:r w:rsidR="00460886" w:rsidRPr="00812301">
        <w:rPr>
          <w:b/>
          <w:bCs/>
          <w:sz w:val="28"/>
          <w:szCs w:val="28"/>
        </w:rPr>
        <w:t xml:space="preserve"> -</w:t>
      </w:r>
      <w:r w:rsidR="00460886" w:rsidRPr="00812301">
        <w:rPr>
          <w:sz w:val="28"/>
          <w:szCs w:val="28"/>
        </w:rPr>
        <w:t xml:space="preserve"> </w:t>
      </w:r>
      <w:r w:rsidR="00812301" w:rsidRPr="00812301">
        <w:rPr>
          <w:sz w:val="28"/>
          <w:szCs w:val="28"/>
        </w:rPr>
        <w:t>дәрілік заттардың қолжетімділігін зерттеудің әдістемелік тәсілдерін оңтайландыруды ғылыми негіздеу және Қазақстан Республикасы халқы үшін ұсынымдар әзірлеу</w:t>
      </w:r>
      <w:r w:rsidR="00812301" w:rsidRPr="00812301">
        <w:rPr>
          <w:sz w:val="28"/>
          <w:szCs w:val="28"/>
        </w:rPr>
        <w:t>.</w:t>
      </w:r>
    </w:p>
    <w:p w14:paraId="7AE3ED25" w14:textId="77777777" w:rsidR="00617C8D" w:rsidRPr="00617C8D" w:rsidRDefault="00617C8D" w:rsidP="00336AEB">
      <w:pPr>
        <w:pStyle w:val="Default"/>
        <w:ind w:firstLine="720"/>
        <w:jc w:val="both"/>
        <w:rPr>
          <w:sz w:val="28"/>
          <w:szCs w:val="28"/>
        </w:rPr>
      </w:pPr>
      <w:r w:rsidRPr="00617C8D">
        <w:rPr>
          <w:b/>
          <w:bCs/>
          <w:sz w:val="28"/>
          <w:szCs w:val="28"/>
        </w:rPr>
        <w:t xml:space="preserve">Зерттеу міндеттері </w:t>
      </w:r>
    </w:p>
    <w:p w14:paraId="62164C26" w14:textId="77777777" w:rsidR="00994510" w:rsidRPr="00994510" w:rsidRDefault="00994510" w:rsidP="00994510">
      <w:pPr>
        <w:pStyle w:val="p1"/>
        <w:numPr>
          <w:ilvl w:val="0"/>
          <w:numId w:val="2"/>
        </w:numPr>
        <w:spacing w:before="0" w:beforeAutospacing="0" w:after="0" w:afterAutospacing="0"/>
        <w:ind w:left="0" w:firstLine="709"/>
        <w:jc w:val="both"/>
        <w:rPr>
          <w:sz w:val="28"/>
          <w:szCs w:val="28"/>
        </w:rPr>
      </w:pPr>
      <w:r w:rsidRPr="00994510">
        <w:rPr>
          <w:sz w:val="28"/>
          <w:szCs w:val="28"/>
        </w:rPr>
        <w:t>Дәрілік заттардың қолжетімділігін бағалау бойынша қолданыстағы әдістемелік тәсілдердің қазіргі жағдайын жаһандық және ұлттық деңгейлерде зерттеу.</w:t>
      </w:r>
    </w:p>
    <w:p w14:paraId="0C7441DF" w14:textId="77777777" w:rsidR="00994510" w:rsidRPr="00994510" w:rsidRDefault="00994510" w:rsidP="00994510">
      <w:pPr>
        <w:pStyle w:val="p1"/>
        <w:numPr>
          <w:ilvl w:val="0"/>
          <w:numId w:val="2"/>
        </w:numPr>
        <w:spacing w:before="0" w:beforeAutospacing="0" w:after="0" w:afterAutospacing="0"/>
        <w:ind w:left="0" w:firstLine="709"/>
        <w:jc w:val="both"/>
        <w:rPr>
          <w:sz w:val="28"/>
          <w:szCs w:val="28"/>
        </w:rPr>
      </w:pPr>
      <w:r w:rsidRPr="00994510">
        <w:rPr>
          <w:sz w:val="28"/>
          <w:szCs w:val="28"/>
        </w:rPr>
        <w:t>Дәрілік заттардың қолжетімділігін зерттеудің әдістемелік тәсілдерін оңтайландыруды теориялық тұрғыдан негіздеу.</w:t>
      </w:r>
    </w:p>
    <w:p w14:paraId="630FC959" w14:textId="77777777" w:rsidR="00994510" w:rsidRPr="00994510" w:rsidRDefault="00994510" w:rsidP="00994510">
      <w:pPr>
        <w:pStyle w:val="p1"/>
        <w:numPr>
          <w:ilvl w:val="0"/>
          <w:numId w:val="2"/>
        </w:numPr>
        <w:spacing w:before="0" w:beforeAutospacing="0" w:after="0" w:afterAutospacing="0"/>
        <w:ind w:left="0" w:firstLine="709"/>
        <w:jc w:val="both"/>
        <w:rPr>
          <w:sz w:val="28"/>
          <w:szCs w:val="28"/>
        </w:rPr>
      </w:pPr>
      <w:r w:rsidRPr="00994510">
        <w:rPr>
          <w:sz w:val="28"/>
          <w:szCs w:val="28"/>
        </w:rPr>
        <w:t>Дәрігерлер мен пациенттердің дженериктер туралы ақпараттану деңгейін зерттеу және айқындау.</w:t>
      </w:r>
    </w:p>
    <w:p w14:paraId="6FAC4427" w14:textId="77777777" w:rsidR="00994510" w:rsidRPr="00994510" w:rsidRDefault="00994510" w:rsidP="00994510">
      <w:pPr>
        <w:pStyle w:val="p1"/>
        <w:numPr>
          <w:ilvl w:val="0"/>
          <w:numId w:val="2"/>
        </w:numPr>
        <w:spacing w:before="0" w:beforeAutospacing="0" w:after="0" w:afterAutospacing="0"/>
        <w:ind w:left="0" w:firstLine="709"/>
        <w:jc w:val="both"/>
        <w:rPr>
          <w:sz w:val="28"/>
          <w:szCs w:val="28"/>
        </w:rPr>
      </w:pPr>
      <w:r w:rsidRPr="00994510">
        <w:rPr>
          <w:sz w:val="28"/>
          <w:szCs w:val="28"/>
        </w:rPr>
        <w:t>Орфандық ауруларды емдеуге арналған препараттар мысалында дәрілік заттардың физикалық және экономикалық қолжетімділігіне талдау жүргізу.</w:t>
      </w:r>
    </w:p>
    <w:p w14:paraId="3EBF90CB" w14:textId="77777777" w:rsidR="00994510" w:rsidRPr="00994510" w:rsidRDefault="00994510" w:rsidP="00994510">
      <w:pPr>
        <w:pStyle w:val="p1"/>
        <w:numPr>
          <w:ilvl w:val="0"/>
          <w:numId w:val="2"/>
        </w:numPr>
        <w:spacing w:before="0" w:beforeAutospacing="0" w:after="0" w:afterAutospacing="0"/>
        <w:ind w:left="0" w:firstLine="709"/>
        <w:jc w:val="both"/>
        <w:rPr>
          <w:sz w:val="28"/>
          <w:szCs w:val="28"/>
        </w:rPr>
      </w:pPr>
      <w:r w:rsidRPr="00994510">
        <w:rPr>
          <w:sz w:val="28"/>
          <w:szCs w:val="28"/>
        </w:rPr>
        <w:t>Қазақстан Республикасы халқы үшін дәрілік заттардың қолжетімділігін арттыру бойынша ұсынымдар әзірлеу.</w:t>
      </w:r>
    </w:p>
    <w:p w14:paraId="6155CB0B" w14:textId="69C4CF60" w:rsidR="00617C8D" w:rsidRPr="00CE25AC" w:rsidRDefault="00617C8D" w:rsidP="00336AEB">
      <w:pPr>
        <w:pStyle w:val="Default"/>
        <w:ind w:firstLine="720"/>
        <w:jc w:val="both"/>
        <w:rPr>
          <w:b/>
          <w:bCs/>
          <w:sz w:val="28"/>
          <w:szCs w:val="28"/>
        </w:rPr>
      </w:pPr>
      <w:r w:rsidRPr="00617C8D">
        <w:rPr>
          <w:b/>
          <w:bCs/>
          <w:sz w:val="28"/>
          <w:szCs w:val="28"/>
        </w:rPr>
        <w:t xml:space="preserve">Зерттеу материалдары мен әдістері </w:t>
      </w:r>
    </w:p>
    <w:p w14:paraId="4DB3D6FC" w14:textId="77777777" w:rsidR="005C1E05" w:rsidRPr="005C1E05" w:rsidRDefault="005C1E05" w:rsidP="005C1E05">
      <w:pPr>
        <w:pStyle w:val="p1"/>
        <w:numPr>
          <w:ilvl w:val="0"/>
          <w:numId w:val="3"/>
        </w:numPr>
        <w:spacing w:before="0" w:beforeAutospacing="0" w:after="0" w:afterAutospacing="0"/>
        <w:ind w:left="0" w:firstLine="709"/>
        <w:jc w:val="both"/>
        <w:rPr>
          <w:sz w:val="28"/>
          <w:szCs w:val="28"/>
        </w:rPr>
      </w:pPr>
      <w:r w:rsidRPr="005C1E05">
        <w:rPr>
          <w:sz w:val="28"/>
          <w:szCs w:val="28"/>
        </w:rPr>
        <w:t>MEDLINE (PubMed), ProQuest, Cochrane Library, ClinicalTrials.gov, Web of Science, EMBASE, Springer және Elsevier жетекші халықаралық ғылыми библиографиялық және толықмәтінді дерекқорларында ұсынылған жарияланған зерттеулер деректерін талдай отырып, әдебиетке шолу жүргізілді.</w:t>
      </w:r>
    </w:p>
    <w:p w14:paraId="074B680D" w14:textId="77777777" w:rsidR="005C1E05" w:rsidRPr="005C1E05" w:rsidRDefault="005C1E05" w:rsidP="005C1E05">
      <w:pPr>
        <w:pStyle w:val="p1"/>
        <w:numPr>
          <w:ilvl w:val="0"/>
          <w:numId w:val="3"/>
        </w:numPr>
        <w:spacing w:before="0" w:beforeAutospacing="0" w:after="0" w:afterAutospacing="0"/>
        <w:ind w:left="0" w:firstLine="709"/>
        <w:jc w:val="both"/>
        <w:rPr>
          <w:sz w:val="28"/>
          <w:szCs w:val="28"/>
        </w:rPr>
      </w:pPr>
      <w:r w:rsidRPr="005C1E05">
        <w:rPr>
          <w:sz w:val="28"/>
          <w:szCs w:val="28"/>
        </w:rPr>
        <w:t>Дәрігерлердің дженериктер туралы ақпараттану деңгейі мен көзқарасын зерттеу мақсатында Chua және авторластар әзірлеген сауалнамаға кросс-мәдени бейімдеу және психометриялық валидация жүргізілді. Бейімдеу халықаралық ұсынымдарға (forward–backward translation) сәйкес жүзеге асырылып, тікелей және кері аудару, мазмұндық валидтілікті сараптамалық бағалау (Content Validity Index, CVI) және алдын ала тестілеу кезеңдерін қамтыды. Психометриялық валидация Jamovi аналитикалық ортасында SEM модулін қолдана отырып, растаушы факторлық талдау (CFA) арқылы жүргізілді. «Ақпараттану» және «Көзқарас» атты латентті конструкциялардан тұратын екі факторлы модель сынақтан өтті. Стандартталған факторлық жүктемелер, факторлар ковариациясы және модель сәйкестігінің индекстері (χ²/df, CFI, TLI, RMSEA, SRMR) құрылымдық теңдеулерді модельдеудің жалпы қабылданған критерийлеріне сәйкес бағаланды.</w:t>
      </w:r>
    </w:p>
    <w:p w14:paraId="1CD04C21" w14:textId="77777777" w:rsidR="005C1E05" w:rsidRPr="005C1E05" w:rsidRDefault="005C1E05" w:rsidP="005C1E05">
      <w:pPr>
        <w:pStyle w:val="p3"/>
        <w:spacing w:before="0" w:beforeAutospacing="0" w:after="0" w:afterAutospacing="0"/>
        <w:ind w:firstLine="709"/>
        <w:jc w:val="both"/>
        <w:rPr>
          <w:sz w:val="28"/>
          <w:szCs w:val="28"/>
        </w:rPr>
      </w:pPr>
      <w:r w:rsidRPr="005C1E05">
        <w:rPr>
          <w:sz w:val="28"/>
          <w:szCs w:val="28"/>
        </w:rPr>
        <w:t xml:space="preserve">Пациенттердің дженериктер туралы ақпараттануын зерттеу үшін F. Mattioli және авторластар әзірлеген, Италияның дәрілік заттар агенттігі (AIFA) мақұлдаған сауалнама бейімделді. Аталған сауалнамаға дәрігерлерге арналған </w:t>
      </w:r>
      <w:r w:rsidRPr="005C1E05">
        <w:rPr>
          <w:sz w:val="28"/>
          <w:szCs w:val="28"/>
        </w:rPr>
        <w:lastRenderedPageBreak/>
        <w:t>сауалнаманы валидациялау кезінде қолданылған ұқсас лингвистикалық бейімдеу әдістері (тікелей және кері аудару) пайдаланылды.</w:t>
      </w:r>
    </w:p>
    <w:p w14:paraId="2CACECE2" w14:textId="77777777" w:rsidR="005C1E05" w:rsidRPr="005C1E05" w:rsidRDefault="005C1E05" w:rsidP="005C1E05">
      <w:pPr>
        <w:pStyle w:val="p3"/>
        <w:spacing w:before="0" w:beforeAutospacing="0" w:after="0" w:afterAutospacing="0"/>
        <w:ind w:firstLine="709"/>
        <w:jc w:val="both"/>
        <w:rPr>
          <w:sz w:val="28"/>
          <w:szCs w:val="28"/>
        </w:rPr>
      </w:pPr>
      <w:r w:rsidRPr="005C1E05">
        <w:rPr>
          <w:sz w:val="28"/>
          <w:szCs w:val="28"/>
        </w:rPr>
        <w:t>Физикалық (ассортименттік) қолжетімділікті бағалау үшін қолжетімді дәрілік заттарды референттік тізіммен салыстыруға негізделген WHO/HAI әдістемелік тәсілі оңтайландырылды. Қазақстан Республикасындағы орфандық ауруларды дәрілік қамтамасыз ету ерекшеліктерін ескере отырып, талдау объектісін өзгерту, салыстырмалы базаны кеңейту, көпдеңгейлі талдауды қолдану және бағалау критерийлерін нақтылау арқылы тәсіл жетілдірілді.</w:t>
      </w:r>
    </w:p>
    <w:p w14:paraId="3B913F04" w14:textId="77777777" w:rsidR="005C1E05" w:rsidRPr="005C1E05" w:rsidRDefault="005C1E05" w:rsidP="005C1E05">
      <w:pPr>
        <w:pStyle w:val="p3"/>
        <w:spacing w:before="0" w:beforeAutospacing="0" w:after="0" w:afterAutospacing="0"/>
        <w:ind w:firstLine="709"/>
        <w:jc w:val="both"/>
        <w:rPr>
          <w:sz w:val="28"/>
          <w:szCs w:val="28"/>
        </w:rPr>
      </w:pPr>
      <w:r w:rsidRPr="005C1E05">
        <w:rPr>
          <w:sz w:val="28"/>
          <w:szCs w:val="28"/>
        </w:rPr>
        <w:t>Орфандық ауруларды емдеуге арналған дәрілік заттардың экономикалық қолжетімділігін талдау үшін WHO/HAI әдістемесінің бағалық компоненті оңтайландырылды. Әдістемелік өзгерістер талдау объектісін нақтылауды, референттік бағалар көзін алмастыруды, сатып алу және халықаралық бағаларды салыстыру тәсілін жетілдіруді, сондай-ақ бағалық қолжетімділікті бағалау критерийлерін өзгертуге бағытталды.</w:t>
      </w:r>
    </w:p>
    <w:p w14:paraId="4E2B6188" w14:textId="77777777" w:rsidR="005C1E05" w:rsidRPr="005C1E05" w:rsidRDefault="005C1E05" w:rsidP="005C1E05">
      <w:pPr>
        <w:pStyle w:val="p1"/>
        <w:numPr>
          <w:ilvl w:val="0"/>
          <w:numId w:val="4"/>
        </w:numPr>
        <w:spacing w:before="0" w:beforeAutospacing="0" w:after="0" w:afterAutospacing="0"/>
        <w:ind w:left="0" w:firstLine="709"/>
        <w:jc w:val="both"/>
        <w:rPr>
          <w:sz w:val="28"/>
          <w:szCs w:val="28"/>
        </w:rPr>
      </w:pPr>
      <w:r w:rsidRPr="005C1E05">
        <w:rPr>
          <w:sz w:val="28"/>
          <w:szCs w:val="28"/>
        </w:rPr>
        <w:t>Дәрігерлер мен пациенттер арасында дженериктер туралы ақпараттану деңгейін бағалау мақсатында Қазақстанның 6 өңірінде көлденең (cross-sectional) зерттеу жүргізілді. Зерттеуге алты өңірден 450 дәрігер және 450 пациент қатысты. Ең төменгі іріктеме көлемі көлденең зерттеулерге арналған формула бойынша есептелді (сенімділік деңгейі 95%, қателік шегі 5%).</w:t>
      </w:r>
    </w:p>
    <w:p w14:paraId="2C7F8493" w14:textId="77777777" w:rsidR="005C1E05" w:rsidRPr="005C1E05" w:rsidRDefault="005C1E05" w:rsidP="005C1E05">
      <w:pPr>
        <w:pStyle w:val="p3"/>
        <w:spacing w:before="0" w:beforeAutospacing="0" w:after="0" w:afterAutospacing="0"/>
        <w:ind w:firstLine="709"/>
        <w:jc w:val="both"/>
        <w:rPr>
          <w:sz w:val="28"/>
          <w:szCs w:val="28"/>
        </w:rPr>
      </w:pPr>
      <w:r w:rsidRPr="005C1E05">
        <w:rPr>
          <w:sz w:val="28"/>
          <w:szCs w:val="28"/>
        </w:rPr>
        <w:t>Статистикалық талдау IBM SPSS Statistics 23 бағдарламасында орындалды және сипаттамалық және индуктивті статистиканы қамтыды. Дәрігерлердің жасы мен еңбек өтілі категориялық айнымалыларға айналдырылды. Ақпараттану мен көзқарасқа қатысты жауаптар үш топқа біріктірілді («келісемін», «бейтарап», «келіспеймін»). Білім деңгейі мен дженериктерге көзқарасқа әсер ететін факторларды анықтау үшін көпфакторлы логистикалық регрессиялық талдау қолданылды. Тәуелді айнымалылар медиана бойынша дихотомизацияланды («жеткілікті» және «жеткіліксіз» деңгей). Маңыздылық p-мәндер бойынша бағаланып, мүмкіндіктер қатынасы (OR) және 95% сенімділік интервалдары (CI) есептелді. Статистикалық маңыздылық деңгейі α = 0,05 ретінде белгіленді.</w:t>
      </w:r>
    </w:p>
    <w:p w14:paraId="33280F4D" w14:textId="77777777" w:rsidR="005C1E05" w:rsidRPr="005C1E05" w:rsidRDefault="005C1E05" w:rsidP="005C1E05">
      <w:pPr>
        <w:pStyle w:val="p3"/>
        <w:spacing w:before="0" w:beforeAutospacing="0" w:after="0" w:afterAutospacing="0"/>
        <w:ind w:firstLine="709"/>
        <w:jc w:val="both"/>
        <w:rPr>
          <w:sz w:val="28"/>
          <w:szCs w:val="28"/>
        </w:rPr>
      </w:pPr>
      <w:r w:rsidRPr="005C1E05">
        <w:rPr>
          <w:sz w:val="28"/>
          <w:szCs w:val="28"/>
        </w:rPr>
        <w:t>Пациенттердің дженериктер туралы ақпараттануын зерттеу барысында айнымалылар абсолюттік (n) және салыстырмалы (%) жиіліктер түрінде ұсынылды. Топтарды салыстыру (дженериктер туралы хабардар/хабардар емес және қабылдаған/қабылдамаған) үшін χ²-тесті қолданылды. Айырмашылықтар p &lt; 0,05 кезінде статистикалық мәнді деп есептелді.</w:t>
      </w:r>
    </w:p>
    <w:p w14:paraId="01D0AB0B" w14:textId="77777777" w:rsidR="00E45FC4" w:rsidRPr="00E45FC4" w:rsidRDefault="006129D0" w:rsidP="00E45FC4">
      <w:pPr>
        <w:pStyle w:val="p1"/>
        <w:spacing w:before="0" w:beforeAutospacing="0" w:after="0" w:afterAutospacing="0"/>
        <w:ind w:firstLine="709"/>
        <w:jc w:val="both"/>
        <w:rPr>
          <w:sz w:val="28"/>
          <w:szCs w:val="28"/>
        </w:rPr>
      </w:pPr>
      <w:r w:rsidRPr="00E45FC4">
        <w:rPr>
          <w:sz w:val="28"/>
          <w:szCs w:val="28"/>
        </w:rPr>
        <w:t xml:space="preserve">4. </w:t>
      </w:r>
      <w:r w:rsidR="00E45FC4" w:rsidRPr="00E45FC4">
        <w:rPr>
          <w:sz w:val="28"/>
          <w:szCs w:val="28"/>
        </w:rPr>
        <w:t>Қазақстан Республикасының тізбесіне енгізілген орфандық ауруларды емдеуге арналған дәрілік заттардың ассортименттік (физикалық) қолжетімділігіне талдау жүргізу барысында Қазақстан Республикасында тіркелуінің болуы, Қазақстандық ұлттық формулярға (ҚҰФ) және амбулаториялық дәрілік қамтамасыз ету (АДҚ) тізбесіне енгізілуі, сондай-ақ халықаралық тәжірибеге сәйкестігі бағаланды.</w:t>
      </w:r>
    </w:p>
    <w:p w14:paraId="3D3E75B3" w14:textId="77777777" w:rsidR="00E45FC4" w:rsidRPr="00E45FC4" w:rsidRDefault="00E45FC4" w:rsidP="00E45FC4">
      <w:pPr>
        <w:pStyle w:val="p2"/>
        <w:spacing w:before="0" w:beforeAutospacing="0" w:after="0" w:afterAutospacing="0"/>
        <w:jc w:val="both"/>
        <w:rPr>
          <w:sz w:val="28"/>
          <w:szCs w:val="28"/>
        </w:rPr>
      </w:pPr>
    </w:p>
    <w:p w14:paraId="2036306B" w14:textId="77777777" w:rsidR="00E45FC4" w:rsidRPr="00E45FC4" w:rsidRDefault="00E45FC4" w:rsidP="00E45FC4">
      <w:pPr>
        <w:pStyle w:val="p1"/>
        <w:spacing w:before="0" w:beforeAutospacing="0" w:after="0" w:afterAutospacing="0"/>
        <w:jc w:val="both"/>
        <w:rPr>
          <w:sz w:val="28"/>
          <w:szCs w:val="28"/>
        </w:rPr>
      </w:pPr>
      <w:r w:rsidRPr="00E45FC4">
        <w:rPr>
          <w:sz w:val="28"/>
          <w:szCs w:val="28"/>
        </w:rPr>
        <w:lastRenderedPageBreak/>
        <w:t>Тіркеу мәртебесі дәрілік заттардың Қазақстан Республикасының дәрілік заттардың мемлекеттік тізілімінде (ГРЛС РК) болуы негізінде айқындалды.</w:t>
      </w:r>
    </w:p>
    <w:p w14:paraId="57A9FEC2" w14:textId="4D92B6EB" w:rsidR="00E45FC4" w:rsidRPr="003834EA" w:rsidRDefault="00E45FC4" w:rsidP="00E45FC4">
      <w:pPr>
        <w:pStyle w:val="p1"/>
        <w:spacing w:before="0" w:beforeAutospacing="0" w:after="0" w:afterAutospacing="0"/>
        <w:jc w:val="both"/>
        <w:rPr>
          <w:sz w:val="28"/>
          <w:szCs w:val="28"/>
        </w:rPr>
      </w:pPr>
      <w:r w:rsidRPr="00E45FC4">
        <w:rPr>
          <w:sz w:val="28"/>
          <w:szCs w:val="28"/>
        </w:rPr>
        <w:t xml:space="preserve">Халықаралық тәжірибеге сәйкестік препараттардың </w:t>
      </w:r>
      <w:hyperlink r:id="rId5" w:history="1">
        <w:r w:rsidRPr="00E45FC4">
          <w:rPr>
            <w:rStyle w:val="s1"/>
            <w:rFonts w:eastAsiaTheme="majorEastAsia"/>
            <w:color w:val="000000" w:themeColor="text1"/>
            <w:sz w:val="28"/>
            <w:szCs w:val="28"/>
          </w:rPr>
          <w:t>Еуропалық Одақ</w:t>
        </w:r>
      </w:hyperlink>
      <w:r w:rsidRPr="00E45FC4">
        <w:rPr>
          <w:color w:val="000000" w:themeColor="text1"/>
          <w:sz w:val="28"/>
          <w:szCs w:val="28"/>
        </w:rPr>
        <w:t xml:space="preserve"> </w:t>
      </w:r>
      <w:r w:rsidRPr="00E45FC4">
        <w:rPr>
          <w:sz w:val="28"/>
          <w:szCs w:val="28"/>
        </w:rPr>
        <w:t>және</w:t>
      </w:r>
      <w:r>
        <w:rPr>
          <w:sz w:val="28"/>
          <w:szCs w:val="28"/>
        </w:rPr>
        <w:t xml:space="preserve"> FDA </w:t>
      </w:r>
      <w:r w:rsidRPr="00E45FC4">
        <w:rPr>
          <w:sz w:val="28"/>
          <w:szCs w:val="28"/>
        </w:rPr>
        <w:t>тізімдерінде орфандық мәртебесінің болуы бойынша бағаланды</w:t>
      </w:r>
      <w:r w:rsidR="00C361AB">
        <w:rPr>
          <w:sz w:val="28"/>
          <w:szCs w:val="28"/>
        </w:rPr>
        <w:t>.</w:t>
      </w:r>
    </w:p>
    <w:p w14:paraId="12F26DA1" w14:textId="2F9F3444" w:rsidR="006129D0" w:rsidRPr="006129D0" w:rsidRDefault="006129D0" w:rsidP="00E45FC4">
      <w:pPr>
        <w:pStyle w:val="p1"/>
        <w:spacing w:before="0" w:beforeAutospacing="0" w:after="0" w:afterAutospacing="0"/>
        <w:ind w:firstLine="709"/>
        <w:jc w:val="both"/>
        <w:rPr>
          <w:sz w:val="28"/>
          <w:szCs w:val="28"/>
        </w:rPr>
      </w:pPr>
      <w:r w:rsidRPr="006129D0">
        <w:rPr>
          <w:sz w:val="28"/>
          <w:szCs w:val="28"/>
        </w:rPr>
        <w:t>Бағалау абсолюттік және салыстырмалы көрсеткіштерде жүргізілді, оның ішінде FDA және EMA реестрлеріндегі препараттардың Қазақстан Республикасының жетім дәрілік заттар тізбесінде ұсынылу үлесі анықталды.</w:t>
      </w:r>
    </w:p>
    <w:p w14:paraId="1C08992A" w14:textId="77777777" w:rsidR="006129D0" w:rsidRPr="006129D0" w:rsidRDefault="006129D0" w:rsidP="006129D0">
      <w:pPr>
        <w:pStyle w:val="p1"/>
        <w:spacing w:before="0" w:beforeAutospacing="0" w:after="0" w:afterAutospacing="0"/>
        <w:jc w:val="both"/>
        <w:rPr>
          <w:sz w:val="28"/>
          <w:szCs w:val="28"/>
        </w:rPr>
      </w:pPr>
      <w:r w:rsidRPr="006129D0">
        <w:rPr>
          <w:sz w:val="28"/>
          <w:szCs w:val="28"/>
        </w:rPr>
        <w:t>Деректерді өңдеу және жүйелеу Microsoft Excel 2022 MSO бағдарламасын (нұсқа 2312, жинақ 16.0.17126.20132) қолдану арқылы жүзеге асырылды.</w:t>
      </w:r>
    </w:p>
    <w:p w14:paraId="474C3410" w14:textId="77777777" w:rsidR="005C1E05" w:rsidRPr="005C1E05" w:rsidRDefault="005C1E05" w:rsidP="005C1E05">
      <w:pPr>
        <w:pStyle w:val="p3"/>
        <w:spacing w:before="0" w:beforeAutospacing="0" w:after="0" w:afterAutospacing="0"/>
        <w:ind w:firstLine="709"/>
        <w:jc w:val="both"/>
        <w:rPr>
          <w:sz w:val="28"/>
          <w:szCs w:val="28"/>
        </w:rPr>
      </w:pPr>
      <w:r w:rsidRPr="005C1E05">
        <w:rPr>
          <w:sz w:val="28"/>
          <w:szCs w:val="28"/>
        </w:rPr>
        <w:t>Бағалық талдау жүргізу үшін орфандық ауруларды емдеуге арналған дәрілік заттардың сатып алу бағалары Pharmaceutical Schedule (New Zealand, 2023–2024) референттік деректерімен салыстырылды. Әр препарат бойынша сауда атауы, халықаралық патенттелмеген атауы (МНН), түрі (түпнұсқа немесе қайта өндірілген), дәрілік түрі, дозасы және өндірушісі анықталды.</w:t>
      </w:r>
    </w:p>
    <w:p w14:paraId="3C39EFBA" w14:textId="77777777" w:rsidR="005C1E05" w:rsidRPr="005C1E05" w:rsidRDefault="005C1E05" w:rsidP="005C1E05">
      <w:pPr>
        <w:pStyle w:val="p3"/>
        <w:spacing w:before="0" w:beforeAutospacing="0" w:after="0" w:afterAutospacing="0"/>
        <w:ind w:firstLine="709"/>
        <w:jc w:val="both"/>
        <w:rPr>
          <w:sz w:val="28"/>
          <w:szCs w:val="28"/>
        </w:rPr>
      </w:pPr>
      <w:r w:rsidRPr="005C1E05">
        <w:rPr>
          <w:sz w:val="28"/>
          <w:szCs w:val="28"/>
        </w:rPr>
        <w:t>Статистикалық өңдеу орташа мәндер мен стандарттық ауытқуларды есептеуді қамтитын сипаттамалық талдау арқылы жүргізілді. Деректерді талдау Microsoft Excel 2022 MSO (нұсқа 2312, жинақ 16.0.17126.20132) бағдарламасын пайдалану арқылы жүзеге асырылды.</w:t>
      </w:r>
    </w:p>
    <w:p w14:paraId="5BB34548" w14:textId="30A21F7D" w:rsidR="00B3237C" w:rsidRPr="005C1E05" w:rsidRDefault="005C1E05" w:rsidP="005C1E05">
      <w:pPr>
        <w:pStyle w:val="p1"/>
        <w:numPr>
          <w:ilvl w:val="0"/>
          <w:numId w:val="6"/>
        </w:numPr>
        <w:spacing w:before="0" w:beforeAutospacing="0" w:after="0" w:afterAutospacing="0"/>
        <w:ind w:left="0" w:firstLine="709"/>
        <w:jc w:val="both"/>
        <w:rPr>
          <w:sz w:val="28"/>
          <w:szCs w:val="28"/>
        </w:rPr>
      </w:pPr>
      <w:r w:rsidRPr="005C1E05">
        <w:rPr>
          <w:sz w:val="28"/>
          <w:szCs w:val="28"/>
        </w:rPr>
        <w:t>Ұсынымдарды әзірлеу үшін зерттеу нәтижелерін аналитикалық жинақтау халықаралық тәжірибені салыстырмалы талдаумен ұштастырыла отырып қолданылды.</w:t>
      </w:r>
    </w:p>
    <w:p w14:paraId="461263B1" w14:textId="77777777" w:rsidR="00617C8D" w:rsidRPr="00617C8D" w:rsidRDefault="00617C8D" w:rsidP="00336AEB">
      <w:pPr>
        <w:pStyle w:val="Default"/>
        <w:ind w:firstLine="720"/>
        <w:jc w:val="both"/>
        <w:rPr>
          <w:sz w:val="28"/>
          <w:szCs w:val="28"/>
        </w:rPr>
      </w:pPr>
      <w:r w:rsidRPr="00617C8D">
        <w:rPr>
          <w:b/>
          <w:bCs/>
          <w:sz w:val="28"/>
          <w:szCs w:val="28"/>
        </w:rPr>
        <w:t xml:space="preserve">Ғылыми жаңалық </w:t>
      </w:r>
    </w:p>
    <w:p w14:paraId="170B5EA1" w14:textId="77777777" w:rsidR="00C735F4" w:rsidRPr="00C735F4" w:rsidRDefault="00C735F4" w:rsidP="00C735F4">
      <w:pPr>
        <w:pStyle w:val="p1"/>
        <w:spacing w:before="0" w:beforeAutospacing="0" w:after="0" w:afterAutospacing="0"/>
        <w:jc w:val="both"/>
        <w:rPr>
          <w:sz w:val="28"/>
          <w:szCs w:val="28"/>
        </w:rPr>
      </w:pPr>
      <w:r w:rsidRPr="00C735F4">
        <w:rPr>
          <w:sz w:val="28"/>
          <w:szCs w:val="28"/>
        </w:rPr>
        <w:t>Қазақстан Республикасы жағдайында алғаш рет:</w:t>
      </w:r>
    </w:p>
    <w:p w14:paraId="2A39FC23" w14:textId="77777777" w:rsidR="00C735F4" w:rsidRPr="00C735F4" w:rsidRDefault="00C735F4" w:rsidP="000217EA">
      <w:pPr>
        <w:pStyle w:val="p1"/>
        <w:numPr>
          <w:ilvl w:val="0"/>
          <w:numId w:val="8"/>
        </w:numPr>
        <w:spacing w:before="0" w:beforeAutospacing="0" w:after="0" w:afterAutospacing="0"/>
        <w:ind w:left="0" w:firstLine="709"/>
        <w:jc w:val="both"/>
        <w:rPr>
          <w:sz w:val="28"/>
          <w:szCs w:val="28"/>
        </w:rPr>
      </w:pPr>
      <w:r w:rsidRPr="00C735F4">
        <w:rPr>
          <w:sz w:val="28"/>
          <w:szCs w:val="28"/>
        </w:rPr>
        <w:t>Chua және авторластардың құралдарына негізделген дәрігерлерге арналған сауалнаманың психометриялық валидациясы жүргізіліп, сауалнаманың қазақ және орыс тілдеріндегі факторлық құрылымы, сенімділігі және концептуалдық валидтілігі расталды;</w:t>
      </w:r>
    </w:p>
    <w:p w14:paraId="0D8AA6A8" w14:textId="77777777" w:rsidR="00C735F4" w:rsidRPr="00C735F4" w:rsidRDefault="00C735F4" w:rsidP="000217EA">
      <w:pPr>
        <w:pStyle w:val="p1"/>
        <w:numPr>
          <w:ilvl w:val="0"/>
          <w:numId w:val="8"/>
        </w:numPr>
        <w:spacing w:before="0" w:beforeAutospacing="0" w:after="0" w:afterAutospacing="0"/>
        <w:ind w:left="0" w:firstLine="709"/>
        <w:jc w:val="both"/>
        <w:rPr>
          <w:sz w:val="28"/>
          <w:szCs w:val="28"/>
        </w:rPr>
      </w:pPr>
      <w:r w:rsidRPr="00C735F4">
        <w:rPr>
          <w:sz w:val="28"/>
          <w:szCs w:val="28"/>
        </w:rPr>
        <w:t>Қазақстанның алты өңіріндегі дәрігерлер арасында дженериктер туралы ақпараттану деңгейі айқындалып, білім деңгейі мен дженериктерге көзқараспен байланысты факторлар анықталды;</w:t>
      </w:r>
    </w:p>
    <w:p w14:paraId="1B2829A4" w14:textId="77777777" w:rsidR="00C735F4" w:rsidRPr="00C735F4" w:rsidRDefault="00C735F4" w:rsidP="000217EA">
      <w:pPr>
        <w:pStyle w:val="p1"/>
        <w:numPr>
          <w:ilvl w:val="0"/>
          <w:numId w:val="8"/>
        </w:numPr>
        <w:spacing w:before="0" w:beforeAutospacing="0" w:after="0" w:afterAutospacing="0"/>
        <w:ind w:left="0" w:firstLine="709"/>
        <w:jc w:val="both"/>
        <w:rPr>
          <w:sz w:val="28"/>
          <w:szCs w:val="28"/>
        </w:rPr>
      </w:pPr>
      <w:r w:rsidRPr="00C735F4">
        <w:rPr>
          <w:sz w:val="28"/>
          <w:szCs w:val="28"/>
        </w:rPr>
        <w:t>F. Mattioli және авторластар әзірлеген пациенттерге арналған сауалнама бейімделіп, бұл клиникалық практикада және пациенттердің препараттарды таңдауы барысында дженериктерді қолдануға кедергі келтіретін негізгі тосқауылдарды айқындауға мүмкіндік берді;</w:t>
      </w:r>
    </w:p>
    <w:p w14:paraId="6ED22B4D" w14:textId="77777777" w:rsidR="00C735F4" w:rsidRPr="00C735F4" w:rsidRDefault="00C735F4" w:rsidP="000217EA">
      <w:pPr>
        <w:pStyle w:val="p1"/>
        <w:numPr>
          <w:ilvl w:val="0"/>
          <w:numId w:val="8"/>
        </w:numPr>
        <w:spacing w:before="0" w:beforeAutospacing="0" w:after="0" w:afterAutospacing="0"/>
        <w:ind w:left="0" w:firstLine="709"/>
        <w:jc w:val="both"/>
        <w:rPr>
          <w:sz w:val="28"/>
          <w:szCs w:val="28"/>
        </w:rPr>
      </w:pPr>
      <w:r w:rsidRPr="00C735F4">
        <w:rPr>
          <w:sz w:val="28"/>
          <w:szCs w:val="28"/>
        </w:rPr>
        <w:t>орфандық ауруларды емдеуге арналған препараттардың физикалық (ассортименттік) және экономикалық қолжетімділігін бағалау үшін WHO/HAI әдіснамасына негізделген оңтайландырылған тәсілдер ұсынылды;</w:t>
      </w:r>
    </w:p>
    <w:p w14:paraId="0FD4280E" w14:textId="77777777" w:rsidR="00C735F4" w:rsidRPr="00C735F4" w:rsidRDefault="00C735F4" w:rsidP="000217EA">
      <w:pPr>
        <w:pStyle w:val="p1"/>
        <w:numPr>
          <w:ilvl w:val="0"/>
          <w:numId w:val="8"/>
        </w:numPr>
        <w:spacing w:before="0" w:beforeAutospacing="0" w:after="0" w:afterAutospacing="0"/>
        <w:ind w:left="0" w:firstLine="709"/>
        <w:jc w:val="both"/>
        <w:rPr>
          <w:sz w:val="28"/>
          <w:szCs w:val="28"/>
        </w:rPr>
      </w:pPr>
      <w:r w:rsidRPr="00C735F4">
        <w:rPr>
          <w:sz w:val="28"/>
          <w:szCs w:val="28"/>
        </w:rPr>
        <w:t>халықаралық референттік деректермен салыстырғанда ассортименттік шектеулер мен бағалық диспропорциялар анықталды.</w:t>
      </w:r>
    </w:p>
    <w:p w14:paraId="0749915F" w14:textId="6F5F031E" w:rsidR="00617C8D" w:rsidRPr="00617C8D" w:rsidRDefault="00617C8D" w:rsidP="00336AEB">
      <w:pPr>
        <w:pStyle w:val="Default"/>
        <w:ind w:firstLine="720"/>
        <w:jc w:val="both"/>
        <w:rPr>
          <w:sz w:val="28"/>
          <w:szCs w:val="28"/>
        </w:rPr>
      </w:pPr>
      <w:r w:rsidRPr="00617C8D">
        <w:rPr>
          <w:b/>
          <w:bCs/>
          <w:sz w:val="28"/>
          <w:szCs w:val="28"/>
        </w:rPr>
        <w:t xml:space="preserve">Зерттеудің практикалық маңыздылығы </w:t>
      </w:r>
    </w:p>
    <w:p w14:paraId="0C48DB1C" w14:textId="77777777" w:rsidR="0035304B" w:rsidRPr="0035304B" w:rsidRDefault="0035304B" w:rsidP="0035304B">
      <w:pPr>
        <w:pStyle w:val="p1"/>
        <w:spacing w:before="0" w:beforeAutospacing="0" w:after="0" w:afterAutospacing="0"/>
        <w:ind w:firstLine="720"/>
        <w:jc w:val="both"/>
        <w:rPr>
          <w:sz w:val="28"/>
          <w:szCs w:val="28"/>
        </w:rPr>
      </w:pPr>
      <w:r w:rsidRPr="0035304B">
        <w:rPr>
          <w:sz w:val="28"/>
          <w:szCs w:val="28"/>
        </w:rPr>
        <w:t>Зерттеу нәтижелері практикалық маңызға ие және Қазақстан Республикасының денсаулық сақтау органдарының, реттеуші және сараптамалық ұйымдарының, сондай-ақ медициналық және фармацевтикалық ұйымдарының қызметінде пайдаланылуы мүмкін.</w:t>
      </w:r>
    </w:p>
    <w:p w14:paraId="45693EA4" w14:textId="77777777" w:rsidR="0035304B" w:rsidRPr="0035304B" w:rsidRDefault="0035304B" w:rsidP="0035304B">
      <w:pPr>
        <w:pStyle w:val="p1"/>
        <w:spacing w:before="0" w:beforeAutospacing="0" w:after="0" w:afterAutospacing="0"/>
        <w:ind w:firstLine="720"/>
        <w:jc w:val="both"/>
        <w:rPr>
          <w:sz w:val="28"/>
          <w:szCs w:val="28"/>
        </w:rPr>
      </w:pPr>
      <w:r w:rsidRPr="0035304B">
        <w:rPr>
          <w:sz w:val="28"/>
          <w:szCs w:val="28"/>
        </w:rPr>
        <w:lastRenderedPageBreak/>
        <w:t>Дәрілік заттардың қолжетімділігін бағалауға арналған оңтайландырылған әдістемелік тәсілдер дәрілік қамтамасыз ету саласында аналитикалық және сараптамалық зерттеулер жүргізу кезінде қолданылуы мүмкін.</w:t>
      </w:r>
    </w:p>
    <w:p w14:paraId="7B5C3541" w14:textId="77777777" w:rsidR="0035304B" w:rsidRPr="0035304B" w:rsidRDefault="0035304B" w:rsidP="0035304B">
      <w:pPr>
        <w:pStyle w:val="p1"/>
        <w:spacing w:before="0" w:beforeAutospacing="0" w:after="0" w:afterAutospacing="0"/>
        <w:ind w:firstLine="720"/>
        <w:jc w:val="both"/>
        <w:rPr>
          <w:sz w:val="28"/>
          <w:szCs w:val="28"/>
        </w:rPr>
      </w:pPr>
      <w:r w:rsidRPr="0035304B">
        <w:rPr>
          <w:sz w:val="28"/>
          <w:szCs w:val="28"/>
        </w:rPr>
        <w:t>Зерттеу нәтижелері негізінде тұжырымдалған ғылыми негізделген ұсынымдар Қазақстан Республикасында дәрілік заттардың қолжетімділігін арттыруға бағытталған стратегияны әзірлеуге негіз бола алады.</w:t>
      </w:r>
    </w:p>
    <w:p w14:paraId="54437145" w14:textId="3F9A03CA" w:rsidR="0035304B" w:rsidRPr="0035304B" w:rsidRDefault="0035304B" w:rsidP="0035304B">
      <w:pPr>
        <w:pStyle w:val="p1"/>
        <w:spacing w:before="0" w:beforeAutospacing="0" w:after="0" w:afterAutospacing="0"/>
        <w:ind w:firstLine="720"/>
        <w:jc w:val="both"/>
        <w:rPr>
          <w:sz w:val="28"/>
          <w:szCs w:val="28"/>
        </w:rPr>
      </w:pPr>
      <w:r w:rsidRPr="0035304B">
        <w:rPr>
          <w:sz w:val="28"/>
          <w:szCs w:val="28"/>
        </w:rPr>
        <w:t>Жүргізілген зерттеулер және олардың нәтижелері «Барлық пациенттер үшін дәрілік заттарға тең қолжетімділікті қамтамасыз етудегі воспроизведённые дәрілік препараттардың рөлі», «Қазақстан Республикасындағы фармаконадзор шеңберінде дәрілік препараттардың қауіпсіздігі туралы ақпаратты мониторингтеу» атты әдістемелік ұсынымдарда баяндалған (Әл-Фараби атындағы ҚазҰУ Медицина және денсаулық сақтау факультеті Ғылыми кеңесінің 2024 жылғы 28 маусымдағы №10 хаттамасы) (А қосымша). Зерттеу нәтижелері медициналық және фармацевтикалық ұйымдардың қызметіне енгізілген, бұл 8 енгізу актісімен расталады.</w:t>
      </w:r>
    </w:p>
    <w:p w14:paraId="1CCCE931" w14:textId="667ABE46" w:rsidR="00617C8D" w:rsidRPr="00617C8D" w:rsidRDefault="00617C8D" w:rsidP="0055190A">
      <w:pPr>
        <w:pStyle w:val="Default"/>
        <w:ind w:firstLine="720"/>
        <w:jc w:val="both"/>
        <w:rPr>
          <w:sz w:val="28"/>
          <w:szCs w:val="28"/>
        </w:rPr>
      </w:pPr>
      <w:r w:rsidRPr="00617C8D">
        <w:rPr>
          <w:b/>
          <w:bCs/>
          <w:sz w:val="28"/>
          <w:szCs w:val="28"/>
        </w:rPr>
        <w:t xml:space="preserve">Жұмыстың теориялық маңыздылығы </w:t>
      </w:r>
    </w:p>
    <w:p w14:paraId="7F79D8D5" w14:textId="77777777" w:rsidR="004461B7" w:rsidRPr="004461B7" w:rsidRDefault="004461B7" w:rsidP="004461B7">
      <w:pPr>
        <w:pStyle w:val="p1"/>
        <w:spacing w:before="0" w:beforeAutospacing="0" w:after="0" w:afterAutospacing="0"/>
        <w:ind w:firstLine="709"/>
        <w:jc w:val="both"/>
        <w:rPr>
          <w:sz w:val="28"/>
          <w:szCs w:val="28"/>
        </w:rPr>
      </w:pPr>
      <w:r w:rsidRPr="004461B7">
        <w:rPr>
          <w:sz w:val="28"/>
          <w:szCs w:val="28"/>
        </w:rPr>
        <w:t>Жұмыстың теориялық маңыздылығы Қазақстан Республикасындағы дәрілік заттардың қолжетімділігіне әлеуметтік және экономикалық факторлардың ықпалын айқындауда көрініс табады. Зерттеу дәрілік заттардың қолжетімділігін жақсарту тұжырымдамасын дамытуға ықпал етеді, бұл өз кезегінде халықты қажетті препараттармен қамтамасыз етудің тиімді стратегияларын әзірлеуді қолдайды.</w:t>
      </w:r>
    </w:p>
    <w:p w14:paraId="595952C9" w14:textId="77777777" w:rsidR="004461B7" w:rsidRPr="004461B7" w:rsidRDefault="004461B7" w:rsidP="004461B7">
      <w:pPr>
        <w:pStyle w:val="p1"/>
        <w:spacing w:before="0" w:beforeAutospacing="0" w:after="0" w:afterAutospacing="0"/>
        <w:ind w:firstLine="709"/>
        <w:jc w:val="both"/>
        <w:rPr>
          <w:sz w:val="28"/>
          <w:szCs w:val="28"/>
        </w:rPr>
      </w:pPr>
      <w:r w:rsidRPr="004461B7">
        <w:rPr>
          <w:sz w:val="28"/>
          <w:szCs w:val="28"/>
        </w:rPr>
        <w:t>Зерттеу дәрілік заттардың қолжетімділігін зерделеу саласындағы әдіснамалық құралдар кешенін қолданыстағы тәсілдерді оңтайландыру арқылы кеңейтеді. Атап айтқанда, дәрігерлер мен пациенттердің дженериктер туралы ақпараттану деңгейін талдау, сондай-ақ орфандық ауруларды емдеуге арналған препараттар мысалында ассортименттік (физикалық) және баға (экономикалық) қолжетімділікті зерттеу қамтылған. Оңтайландырылған әдістемелік тәсілдер болашақ ғылыми зерттеулерде және дәрілік заттардың қолжетімділігін зерделеудің жаңа әдіснамалық негіздерін қалыптастыруда қолданылуы мүмкін.</w:t>
      </w:r>
    </w:p>
    <w:p w14:paraId="25D17AAF" w14:textId="77777777" w:rsidR="004461B7" w:rsidRPr="004461B7" w:rsidRDefault="004461B7" w:rsidP="004461B7">
      <w:pPr>
        <w:pStyle w:val="p1"/>
        <w:spacing w:before="0" w:beforeAutospacing="0" w:after="0" w:afterAutospacing="0"/>
        <w:ind w:firstLine="709"/>
        <w:jc w:val="both"/>
        <w:rPr>
          <w:sz w:val="28"/>
          <w:szCs w:val="28"/>
        </w:rPr>
      </w:pPr>
      <w:r w:rsidRPr="004461B7">
        <w:rPr>
          <w:sz w:val="28"/>
          <w:szCs w:val="28"/>
        </w:rPr>
        <w:t>Алынған нәтижелер фармация және денсаулық сақтау саласындағы мамандардың құзыреттілігін арттыруға ықпал ете отырып, оқу үдерісінде дәрістер мен практикалық сабақтарды дайындау барысында пайдаланылуы мүмкін.</w:t>
      </w:r>
    </w:p>
    <w:p w14:paraId="1058D8EF" w14:textId="34B41BAF" w:rsidR="00617C8D" w:rsidRPr="00617C8D" w:rsidRDefault="00617C8D" w:rsidP="004461B7">
      <w:pPr>
        <w:pStyle w:val="p1"/>
        <w:spacing w:before="0" w:beforeAutospacing="0" w:after="0" w:afterAutospacing="0"/>
        <w:ind w:firstLine="709"/>
        <w:jc w:val="both"/>
        <w:rPr>
          <w:sz w:val="28"/>
          <w:szCs w:val="28"/>
        </w:rPr>
      </w:pPr>
      <w:r w:rsidRPr="00617C8D">
        <w:rPr>
          <w:b/>
          <w:bCs/>
          <w:sz w:val="28"/>
          <w:szCs w:val="28"/>
        </w:rPr>
        <w:t xml:space="preserve">Қорғауға шығарылатын негізгі </w:t>
      </w:r>
      <w:r w:rsidR="00187BEC" w:rsidRPr="00187BEC">
        <w:rPr>
          <w:b/>
          <w:bCs/>
          <w:sz w:val="28"/>
          <w:szCs w:val="28"/>
        </w:rPr>
        <w:t>тұжырымдар</w:t>
      </w:r>
      <w:r w:rsidRPr="00617C8D">
        <w:rPr>
          <w:b/>
          <w:bCs/>
          <w:sz w:val="28"/>
          <w:szCs w:val="28"/>
        </w:rPr>
        <w:t xml:space="preserve">: </w:t>
      </w:r>
    </w:p>
    <w:p w14:paraId="79B01DFA" w14:textId="77777777" w:rsidR="006118F2" w:rsidRPr="006118F2" w:rsidRDefault="006118F2" w:rsidP="006118F2">
      <w:pPr>
        <w:pStyle w:val="p1"/>
        <w:numPr>
          <w:ilvl w:val="0"/>
          <w:numId w:val="9"/>
        </w:numPr>
        <w:spacing w:before="0" w:beforeAutospacing="0" w:after="0" w:afterAutospacing="0"/>
        <w:ind w:left="0" w:firstLine="709"/>
        <w:jc w:val="both"/>
        <w:rPr>
          <w:sz w:val="28"/>
          <w:szCs w:val="28"/>
        </w:rPr>
      </w:pPr>
      <w:r w:rsidRPr="006118F2">
        <w:rPr>
          <w:sz w:val="28"/>
          <w:szCs w:val="28"/>
        </w:rPr>
        <w:t>Әдістемелік тәсілдерді талдау олардың біркелкі еместігін, фрагментарлығын және ұлттық жағдайларға бейімдеу қажеттігін айқындады.</w:t>
      </w:r>
    </w:p>
    <w:p w14:paraId="747AE678" w14:textId="77777777" w:rsidR="006118F2" w:rsidRPr="006118F2" w:rsidRDefault="006118F2" w:rsidP="006118F2">
      <w:pPr>
        <w:pStyle w:val="p1"/>
        <w:numPr>
          <w:ilvl w:val="0"/>
          <w:numId w:val="9"/>
        </w:numPr>
        <w:spacing w:before="0" w:beforeAutospacing="0" w:after="0" w:afterAutospacing="0"/>
        <w:ind w:left="0" w:firstLine="709"/>
        <w:jc w:val="both"/>
        <w:rPr>
          <w:sz w:val="28"/>
          <w:szCs w:val="28"/>
        </w:rPr>
      </w:pPr>
      <w:r w:rsidRPr="006118F2">
        <w:rPr>
          <w:sz w:val="28"/>
          <w:szCs w:val="28"/>
        </w:rPr>
        <w:t xml:space="preserve">Дәрілік заттардың қолжетімділігін зерттеудің оңтайландырылған әдістемелік тәсілдері ұсынылды, олар дәрігерлердің дженериктер туралы ақпараттану деңгейі мен көзқарасын бағалауға арналған психометриялық валидтелген сауалнаманы, пациенттерге бейімделген сауалнаманы, сондай-ақ орфандық ауруларды емдеуге арналған препараттар мысалында физикалық </w:t>
      </w:r>
      <w:r w:rsidRPr="006118F2">
        <w:rPr>
          <w:sz w:val="28"/>
          <w:szCs w:val="28"/>
        </w:rPr>
        <w:lastRenderedPageBreak/>
        <w:t>(ассортименттік) және экономикалық (бағалық талдау) қолжетімділікті бағалаудың оңтайландырылған тәсілдерін қамтиды.</w:t>
      </w:r>
    </w:p>
    <w:p w14:paraId="49082802" w14:textId="77777777" w:rsidR="00B6314E" w:rsidRPr="00B6314E" w:rsidRDefault="006118F2" w:rsidP="00B6314E">
      <w:pPr>
        <w:pStyle w:val="p1"/>
        <w:numPr>
          <w:ilvl w:val="0"/>
          <w:numId w:val="9"/>
        </w:numPr>
        <w:spacing w:before="0" w:beforeAutospacing="0" w:after="0" w:afterAutospacing="0"/>
        <w:ind w:left="0" w:firstLine="709"/>
        <w:jc w:val="both"/>
        <w:rPr>
          <w:sz w:val="28"/>
          <w:szCs w:val="28"/>
        </w:rPr>
      </w:pPr>
      <w:r w:rsidRPr="006118F2">
        <w:rPr>
          <w:sz w:val="28"/>
          <w:szCs w:val="28"/>
        </w:rPr>
        <w:t>Дәрігерлер мен пациенттердің дженериктер туралы ақпараттану деңгейін зерттеу нәтижелері білім деңгейінің шектеулі екенін көрсетті, бұл ақпараттық қолжетімділікке теріс әсер етіп, дженериктерге деген сенімді төмендетеді.</w:t>
      </w:r>
    </w:p>
    <w:p w14:paraId="1DE54F42" w14:textId="212FFCF6" w:rsidR="00B6314E" w:rsidRPr="00B6314E" w:rsidRDefault="00B6314E" w:rsidP="00B6314E">
      <w:pPr>
        <w:pStyle w:val="p1"/>
        <w:numPr>
          <w:ilvl w:val="0"/>
          <w:numId w:val="9"/>
        </w:numPr>
        <w:spacing w:before="0" w:beforeAutospacing="0" w:after="0" w:afterAutospacing="0"/>
        <w:ind w:left="0" w:firstLine="709"/>
        <w:jc w:val="both"/>
        <w:rPr>
          <w:sz w:val="28"/>
          <w:szCs w:val="28"/>
        </w:rPr>
      </w:pPr>
      <w:r w:rsidRPr="00B6314E">
        <w:rPr>
          <w:sz w:val="28"/>
          <w:szCs w:val="28"/>
        </w:rPr>
        <w:t>Жетім ауруларды емдеуге арналған дәрілік заттардың физикалық және экономикалық қолжетімділігі препараттардың толық тіркелмеуі және дәрілік қамтамасыз ету жүйесімен толық қамтылмауы салдарынан шектеулі болып қалуда. Халықаралық референттік деректермен салыстырғанда бағаларда айтарлықтай айырмашылықтар байқалады</w:t>
      </w:r>
    </w:p>
    <w:p w14:paraId="1CE6F672" w14:textId="77777777" w:rsidR="006118F2" w:rsidRPr="006118F2" w:rsidRDefault="006118F2" w:rsidP="006118F2">
      <w:pPr>
        <w:pStyle w:val="p1"/>
        <w:numPr>
          <w:ilvl w:val="0"/>
          <w:numId w:val="9"/>
        </w:numPr>
        <w:spacing w:before="0" w:beforeAutospacing="0" w:after="0" w:afterAutospacing="0"/>
        <w:ind w:left="0" w:firstLine="709"/>
        <w:jc w:val="both"/>
        <w:rPr>
          <w:sz w:val="28"/>
          <w:szCs w:val="28"/>
        </w:rPr>
      </w:pPr>
      <w:r w:rsidRPr="006118F2">
        <w:rPr>
          <w:sz w:val="28"/>
          <w:szCs w:val="28"/>
        </w:rPr>
        <w:t>Дәрілік заттардың қолжетімділігін арттыруға бағытталған ұсынымдар әзірленді, олар дәрігерлер мен пациенттердің дженериктер туралы ақпараттануын жақсарту, орфандық ауруларды емдеуге арналған препараттардың ассортименттік қамтамасыз етілуін кеңейту және баға белгілеу тәсілдерін оңтайландыру жөніндегі шараларды қамтиды.</w:t>
      </w:r>
    </w:p>
    <w:p w14:paraId="477A2961" w14:textId="378C2840" w:rsidR="00617C8D" w:rsidRPr="00617C8D" w:rsidRDefault="00617C8D" w:rsidP="00187BEC">
      <w:pPr>
        <w:pStyle w:val="Default"/>
        <w:ind w:firstLine="720"/>
        <w:jc w:val="both"/>
        <w:rPr>
          <w:sz w:val="28"/>
          <w:szCs w:val="28"/>
        </w:rPr>
      </w:pPr>
      <w:r w:rsidRPr="00617C8D">
        <w:rPr>
          <w:b/>
          <w:bCs/>
          <w:sz w:val="28"/>
          <w:szCs w:val="28"/>
        </w:rPr>
        <w:t xml:space="preserve">Диссертацияны апробациялау </w:t>
      </w:r>
    </w:p>
    <w:p w14:paraId="44AA1A66" w14:textId="7CE962D2" w:rsidR="00187BEC" w:rsidRPr="00187BEC" w:rsidRDefault="00187BEC" w:rsidP="00187BEC">
      <w:pPr>
        <w:pStyle w:val="Default"/>
        <w:ind w:firstLine="720"/>
        <w:jc w:val="both"/>
        <w:rPr>
          <w:sz w:val="28"/>
          <w:szCs w:val="28"/>
        </w:rPr>
      </w:pPr>
      <w:r w:rsidRPr="00187BEC">
        <w:rPr>
          <w:sz w:val="28"/>
          <w:szCs w:val="28"/>
        </w:rPr>
        <w:t>Зерттеудің негізгі тұжырымдары мен нәтижелері келесі ғылыми іс-шараларда баяндалды:</w:t>
      </w:r>
    </w:p>
    <w:p w14:paraId="491623F6" w14:textId="20B93DEE" w:rsidR="00617C8D" w:rsidRPr="00617C8D" w:rsidRDefault="00617C8D" w:rsidP="000B63D5">
      <w:pPr>
        <w:pStyle w:val="Default"/>
        <w:numPr>
          <w:ilvl w:val="0"/>
          <w:numId w:val="14"/>
        </w:numPr>
        <w:ind w:left="0" w:firstLine="709"/>
        <w:jc w:val="both"/>
        <w:rPr>
          <w:sz w:val="28"/>
          <w:szCs w:val="28"/>
        </w:rPr>
      </w:pPr>
      <w:r w:rsidRPr="00617C8D">
        <w:rPr>
          <w:sz w:val="28"/>
          <w:szCs w:val="28"/>
        </w:rPr>
        <w:t>5th Global Public Health Conference – GLOBEHEAL 2022 «Future of Global Health in changing world» (</w:t>
      </w:r>
      <w:r w:rsidR="00A4762F" w:rsidRPr="006D4EC1">
        <w:rPr>
          <w:sz w:val="28"/>
          <w:szCs w:val="28"/>
          <w:lang w:val="en-US"/>
        </w:rPr>
        <w:t>Shri Lanka</w:t>
      </w:r>
      <w:r w:rsidR="00187BEC" w:rsidRPr="00187BEC">
        <w:rPr>
          <w:sz w:val="28"/>
          <w:szCs w:val="28"/>
        </w:rPr>
        <w:t>, 2022 жылғы 24–25 ақпан</w:t>
      </w:r>
      <w:r w:rsidRPr="00617C8D">
        <w:rPr>
          <w:sz w:val="28"/>
          <w:szCs w:val="28"/>
        </w:rPr>
        <w:t xml:space="preserve">); </w:t>
      </w:r>
    </w:p>
    <w:p w14:paraId="716E73C0" w14:textId="754470B1" w:rsidR="00617C8D" w:rsidRPr="00617C8D" w:rsidRDefault="00617C8D" w:rsidP="000B63D5">
      <w:pPr>
        <w:pStyle w:val="Default"/>
        <w:numPr>
          <w:ilvl w:val="0"/>
          <w:numId w:val="14"/>
        </w:numPr>
        <w:ind w:left="0" w:firstLine="709"/>
        <w:jc w:val="both"/>
        <w:rPr>
          <w:sz w:val="28"/>
          <w:szCs w:val="28"/>
        </w:rPr>
      </w:pPr>
      <w:r w:rsidRPr="00617C8D">
        <w:rPr>
          <w:sz w:val="28"/>
          <w:szCs w:val="28"/>
        </w:rPr>
        <w:t>III Online Conference. «Modern science. Management and standards of scientific research collection of articles and theses» (</w:t>
      </w:r>
      <w:r w:rsidR="00A4762F" w:rsidRPr="006D4EC1">
        <w:rPr>
          <w:sz w:val="28"/>
          <w:szCs w:val="28"/>
          <w:lang w:val="en-US"/>
        </w:rPr>
        <w:t>Prag</w:t>
      </w:r>
      <w:r w:rsidR="00A4762F" w:rsidRPr="006D4EC1">
        <w:rPr>
          <w:sz w:val="28"/>
          <w:szCs w:val="28"/>
        </w:rPr>
        <w:t>а</w:t>
      </w:r>
      <w:r w:rsidR="00187BEC" w:rsidRPr="00187BEC">
        <w:rPr>
          <w:sz w:val="28"/>
          <w:szCs w:val="28"/>
        </w:rPr>
        <w:t>, 2021 жылғы 22–23 сәуір</w:t>
      </w:r>
      <w:r w:rsidRPr="00617C8D">
        <w:rPr>
          <w:sz w:val="28"/>
          <w:szCs w:val="28"/>
        </w:rPr>
        <w:t xml:space="preserve">); </w:t>
      </w:r>
    </w:p>
    <w:p w14:paraId="355B6F5B" w14:textId="4DCD9E56" w:rsidR="00617C8D" w:rsidRPr="00617C8D" w:rsidRDefault="00617C8D" w:rsidP="000B63D5">
      <w:pPr>
        <w:pStyle w:val="Default"/>
        <w:numPr>
          <w:ilvl w:val="0"/>
          <w:numId w:val="14"/>
        </w:numPr>
        <w:ind w:left="0" w:firstLine="709"/>
        <w:jc w:val="both"/>
        <w:rPr>
          <w:sz w:val="28"/>
          <w:szCs w:val="28"/>
        </w:rPr>
      </w:pPr>
      <w:r w:rsidRPr="00617C8D">
        <w:rPr>
          <w:sz w:val="28"/>
          <w:szCs w:val="28"/>
        </w:rPr>
        <w:t>XV халықаралық ғылыми-практикалық конференция "ЭКОЛОГИЯ. РАДИАЦИЯ. Семей ядролық сынақ полигонының жабылуының 30 жылдығына арналған" Денсаулық " (</w:t>
      </w:r>
      <w:r w:rsidR="00187BEC" w:rsidRPr="00187BEC">
        <w:rPr>
          <w:sz w:val="28"/>
          <w:szCs w:val="28"/>
        </w:rPr>
        <w:t>Семей, 2021 жылғы 28 тамыз</w:t>
      </w:r>
      <w:r w:rsidRPr="00617C8D">
        <w:rPr>
          <w:sz w:val="28"/>
          <w:szCs w:val="28"/>
        </w:rPr>
        <w:t>)</w:t>
      </w:r>
      <w:r w:rsidR="00187BEC" w:rsidRPr="00187BEC">
        <w:rPr>
          <w:sz w:val="28"/>
          <w:szCs w:val="28"/>
        </w:rPr>
        <w:t>.</w:t>
      </w:r>
      <w:r w:rsidRPr="00617C8D">
        <w:rPr>
          <w:sz w:val="28"/>
          <w:szCs w:val="28"/>
        </w:rPr>
        <w:t xml:space="preserve"> </w:t>
      </w:r>
    </w:p>
    <w:p w14:paraId="192CF9A5" w14:textId="77777777" w:rsidR="00617C8D" w:rsidRPr="00617C8D" w:rsidRDefault="00617C8D" w:rsidP="00336AEB">
      <w:pPr>
        <w:pStyle w:val="Default"/>
        <w:ind w:firstLine="720"/>
        <w:jc w:val="both"/>
        <w:rPr>
          <w:sz w:val="28"/>
          <w:szCs w:val="28"/>
        </w:rPr>
      </w:pPr>
      <w:r w:rsidRPr="00617C8D">
        <w:rPr>
          <w:b/>
          <w:bCs/>
          <w:sz w:val="28"/>
          <w:szCs w:val="28"/>
        </w:rPr>
        <w:t xml:space="preserve">Диссертацияның жеке үлесі </w:t>
      </w:r>
    </w:p>
    <w:p w14:paraId="6D71DC45" w14:textId="4EE88C14" w:rsidR="00617C8D" w:rsidRPr="00617C8D" w:rsidRDefault="003250BA" w:rsidP="00336AEB">
      <w:pPr>
        <w:pStyle w:val="Default"/>
        <w:ind w:firstLine="720"/>
        <w:jc w:val="both"/>
        <w:rPr>
          <w:sz w:val="28"/>
          <w:szCs w:val="28"/>
        </w:rPr>
      </w:pPr>
      <w:r w:rsidRPr="003250BA">
        <w:rPr>
          <w:sz w:val="28"/>
          <w:szCs w:val="28"/>
        </w:rPr>
        <w:t>Диссертант зерттеу тақырыбы бойынша әдеби деректерге талдау жүргізіп, алынған нәтижелерді жинақтап, өңдеп және статистикалық талдау жасады. Автор дәрілік заттардың қолжетімділігін арттыруға бағытталған әдістемелік ұсынымдарды әзірлеуге елеулі үлес қосты. Зерттеу нәтижелері ғылыми жарияланымдар мен конференцияларда жасалған баяндамаларда көрініс тапқан, бұл олардың өзектілігі мен маңыздылығын растайды.</w:t>
      </w:r>
      <w:r w:rsidR="00617C8D" w:rsidRPr="00617C8D">
        <w:rPr>
          <w:sz w:val="28"/>
          <w:szCs w:val="28"/>
        </w:rPr>
        <w:t xml:space="preserve"> </w:t>
      </w:r>
    </w:p>
    <w:p w14:paraId="441C3F26" w14:textId="77777777" w:rsidR="00617C8D" w:rsidRPr="00617C8D" w:rsidRDefault="00617C8D" w:rsidP="00336AEB">
      <w:pPr>
        <w:pStyle w:val="Default"/>
        <w:ind w:firstLine="720"/>
        <w:jc w:val="both"/>
        <w:rPr>
          <w:sz w:val="28"/>
          <w:szCs w:val="28"/>
        </w:rPr>
      </w:pPr>
      <w:r w:rsidRPr="00617C8D">
        <w:rPr>
          <w:b/>
          <w:bCs/>
          <w:sz w:val="28"/>
          <w:szCs w:val="28"/>
        </w:rPr>
        <w:t xml:space="preserve">Тәжірибеге енгізу </w:t>
      </w:r>
    </w:p>
    <w:p w14:paraId="0AAF66DB" w14:textId="77777777" w:rsidR="00617C8D" w:rsidRPr="00617C8D" w:rsidRDefault="00617C8D" w:rsidP="00336AEB">
      <w:pPr>
        <w:pStyle w:val="Default"/>
        <w:ind w:firstLine="720"/>
        <w:jc w:val="both"/>
        <w:rPr>
          <w:sz w:val="28"/>
          <w:szCs w:val="28"/>
        </w:rPr>
      </w:pPr>
      <w:r w:rsidRPr="00617C8D">
        <w:rPr>
          <w:sz w:val="28"/>
          <w:szCs w:val="28"/>
        </w:rPr>
        <w:t xml:space="preserve">Диссертациялық жұмыстың нәтижелері практикалық денсаулық сақтауға енгізілді: </w:t>
      </w:r>
    </w:p>
    <w:p w14:paraId="06098F11" w14:textId="77777777" w:rsidR="00617C8D" w:rsidRPr="00617C8D" w:rsidRDefault="00617C8D" w:rsidP="00336AEB">
      <w:pPr>
        <w:pStyle w:val="Default"/>
        <w:ind w:firstLine="720"/>
        <w:jc w:val="both"/>
        <w:rPr>
          <w:sz w:val="28"/>
          <w:szCs w:val="28"/>
        </w:rPr>
      </w:pPr>
      <w:r w:rsidRPr="00617C8D">
        <w:rPr>
          <w:sz w:val="28"/>
          <w:szCs w:val="28"/>
        </w:rPr>
        <w:t xml:space="preserve">1.Алматы қаласының" №13 қалалық емханасы". </w:t>
      </w:r>
    </w:p>
    <w:p w14:paraId="37C238CC" w14:textId="77777777" w:rsidR="00617C8D" w:rsidRPr="00617C8D" w:rsidRDefault="00617C8D" w:rsidP="00336AEB">
      <w:pPr>
        <w:pStyle w:val="Default"/>
        <w:ind w:firstLine="720"/>
        <w:jc w:val="both"/>
        <w:rPr>
          <w:sz w:val="28"/>
          <w:szCs w:val="28"/>
        </w:rPr>
      </w:pPr>
      <w:r w:rsidRPr="00617C8D">
        <w:rPr>
          <w:sz w:val="28"/>
          <w:szCs w:val="28"/>
        </w:rPr>
        <w:t xml:space="preserve">2.Шымкент қаласы Денсаулық сақтау басқармасының "Қалалық онкологиялық орталығы" ШЖҚ МКК. </w:t>
      </w:r>
    </w:p>
    <w:p w14:paraId="3109B7BC" w14:textId="77777777" w:rsidR="00617C8D" w:rsidRPr="00617C8D" w:rsidRDefault="00617C8D" w:rsidP="00336AEB">
      <w:pPr>
        <w:pStyle w:val="Default"/>
        <w:ind w:firstLine="720"/>
        <w:jc w:val="both"/>
        <w:rPr>
          <w:sz w:val="28"/>
          <w:szCs w:val="28"/>
        </w:rPr>
      </w:pPr>
      <w:r w:rsidRPr="00617C8D">
        <w:rPr>
          <w:sz w:val="28"/>
          <w:szCs w:val="28"/>
        </w:rPr>
        <w:t xml:space="preserve">3. "Фармидея Қазақстан"жауапкершілігі шектеулі серіктестігі (ЖШС). </w:t>
      </w:r>
    </w:p>
    <w:p w14:paraId="5CDA8807" w14:textId="6903B95C" w:rsidR="00617C8D" w:rsidRPr="00617C8D" w:rsidRDefault="00617C8D" w:rsidP="00336AEB">
      <w:pPr>
        <w:pStyle w:val="Default"/>
        <w:ind w:firstLine="720"/>
        <w:jc w:val="both"/>
        <w:rPr>
          <w:sz w:val="28"/>
          <w:szCs w:val="28"/>
        </w:rPr>
      </w:pPr>
      <w:r w:rsidRPr="00617C8D">
        <w:rPr>
          <w:sz w:val="28"/>
          <w:szCs w:val="28"/>
        </w:rPr>
        <w:t xml:space="preserve">4. "Support team" жеке кәсіпкері. </w:t>
      </w:r>
    </w:p>
    <w:p w14:paraId="46A1617D" w14:textId="77777777" w:rsidR="00617C8D" w:rsidRPr="00617C8D" w:rsidRDefault="00617C8D" w:rsidP="00336AEB">
      <w:pPr>
        <w:pStyle w:val="Default"/>
        <w:ind w:firstLine="720"/>
        <w:jc w:val="both"/>
        <w:rPr>
          <w:sz w:val="28"/>
          <w:szCs w:val="28"/>
        </w:rPr>
      </w:pPr>
      <w:r w:rsidRPr="00617C8D">
        <w:rPr>
          <w:b/>
          <w:bCs/>
          <w:sz w:val="28"/>
          <w:szCs w:val="28"/>
        </w:rPr>
        <w:t xml:space="preserve">Диссертация тақырыбы бойынша жарияланымдар </w:t>
      </w:r>
    </w:p>
    <w:p w14:paraId="10B26E25" w14:textId="77777777" w:rsidR="0056756B" w:rsidRPr="0056756B" w:rsidRDefault="0056756B" w:rsidP="00FA098C">
      <w:pPr>
        <w:pStyle w:val="p1"/>
        <w:spacing w:before="0" w:beforeAutospacing="0" w:after="0" w:afterAutospacing="0"/>
        <w:ind w:firstLine="709"/>
        <w:jc w:val="both"/>
        <w:rPr>
          <w:sz w:val="28"/>
          <w:szCs w:val="28"/>
        </w:rPr>
      </w:pPr>
      <w:r w:rsidRPr="0056756B">
        <w:rPr>
          <w:sz w:val="28"/>
          <w:szCs w:val="28"/>
        </w:rPr>
        <w:lastRenderedPageBreak/>
        <w:t>Диссертация тақырыбы бойынша барлығы 10 ғылыми еңбек жарияланған, оның ішінде:</w:t>
      </w:r>
    </w:p>
    <w:p w14:paraId="29CF7E20" w14:textId="77777777" w:rsidR="00FA098C" w:rsidRPr="00FA098C" w:rsidRDefault="0056756B" w:rsidP="00FA098C">
      <w:pPr>
        <w:pStyle w:val="p2"/>
        <w:numPr>
          <w:ilvl w:val="0"/>
          <w:numId w:val="15"/>
        </w:numPr>
        <w:spacing w:before="0" w:beforeAutospacing="0" w:after="0" w:afterAutospacing="0"/>
        <w:ind w:left="0" w:firstLine="709"/>
        <w:jc w:val="both"/>
        <w:rPr>
          <w:sz w:val="28"/>
          <w:szCs w:val="28"/>
        </w:rPr>
      </w:pPr>
      <w:r w:rsidRPr="00FA098C">
        <w:rPr>
          <w:sz w:val="28"/>
          <w:szCs w:val="28"/>
        </w:rPr>
        <w:t>Scopus деректер базасында индекстелетін ғылыми журналдарда 2 мақала;</w:t>
      </w:r>
    </w:p>
    <w:p w14:paraId="1EEEE1B7" w14:textId="44025DA6" w:rsidR="0056756B" w:rsidRPr="00FA098C" w:rsidRDefault="0056756B" w:rsidP="00FA098C">
      <w:pPr>
        <w:pStyle w:val="p2"/>
        <w:numPr>
          <w:ilvl w:val="0"/>
          <w:numId w:val="15"/>
        </w:numPr>
        <w:spacing w:before="0" w:beforeAutospacing="0" w:after="0" w:afterAutospacing="0"/>
        <w:ind w:left="0" w:firstLine="709"/>
        <w:jc w:val="both"/>
        <w:rPr>
          <w:sz w:val="28"/>
          <w:szCs w:val="28"/>
        </w:rPr>
      </w:pPr>
      <w:r w:rsidRPr="00FA098C">
        <w:rPr>
          <w:sz w:val="28"/>
          <w:szCs w:val="28"/>
        </w:rPr>
        <w:t>Қазақстан Республикасы Ғылым және жоғары білім министрлігінің Ғылым және жоғары білім саласындағы сапаны қамтамасыз ету комитеті ұсынған журналдарда 3 мақала;</w:t>
      </w:r>
    </w:p>
    <w:p w14:paraId="3C23C956" w14:textId="77777777" w:rsidR="00FA098C" w:rsidRPr="00FA098C" w:rsidRDefault="0056756B" w:rsidP="00FA098C">
      <w:pPr>
        <w:pStyle w:val="p1"/>
        <w:numPr>
          <w:ilvl w:val="0"/>
          <w:numId w:val="15"/>
        </w:numPr>
        <w:spacing w:before="0" w:beforeAutospacing="0" w:after="0" w:afterAutospacing="0"/>
        <w:ind w:left="0" w:firstLine="709"/>
        <w:jc w:val="both"/>
        <w:rPr>
          <w:sz w:val="28"/>
          <w:szCs w:val="28"/>
        </w:rPr>
      </w:pPr>
      <w:r w:rsidRPr="0056756B">
        <w:rPr>
          <w:sz w:val="28"/>
          <w:szCs w:val="28"/>
        </w:rPr>
        <w:t>халықаралық ғылыми-практикалық конференциялар материалдарында 3 тезис;</w:t>
      </w:r>
    </w:p>
    <w:p w14:paraId="7249B1D4" w14:textId="27C14293" w:rsidR="0056756B" w:rsidRPr="00FA098C" w:rsidRDefault="0056756B" w:rsidP="00FA098C">
      <w:pPr>
        <w:pStyle w:val="p1"/>
        <w:numPr>
          <w:ilvl w:val="0"/>
          <w:numId w:val="15"/>
        </w:numPr>
        <w:spacing w:before="0" w:beforeAutospacing="0" w:after="0" w:afterAutospacing="0"/>
        <w:ind w:left="0" w:firstLine="709"/>
        <w:jc w:val="both"/>
        <w:rPr>
          <w:sz w:val="28"/>
          <w:szCs w:val="28"/>
        </w:rPr>
      </w:pPr>
      <w:r w:rsidRPr="00FA098C">
        <w:rPr>
          <w:sz w:val="28"/>
          <w:szCs w:val="28"/>
        </w:rPr>
        <w:t>2 әдістемелік ұсыным (Әл-Фараби атындағы Қазақ ұлттық университеті Медицина және денсаулық сақтау факультетінің Ғылыми кеңесінің 2024 жылғы 28 маусымдағы №10 хаттамасы) (А қосымша);</w:t>
      </w:r>
    </w:p>
    <w:p w14:paraId="0BD8B748" w14:textId="29957871" w:rsidR="00617C8D" w:rsidRPr="002D55AA" w:rsidRDefault="0056756B" w:rsidP="002D55AA">
      <w:pPr>
        <w:pStyle w:val="p1"/>
        <w:numPr>
          <w:ilvl w:val="0"/>
          <w:numId w:val="15"/>
        </w:numPr>
        <w:spacing w:before="0" w:beforeAutospacing="0" w:after="0" w:afterAutospacing="0"/>
        <w:ind w:left="0" w:firstLine="709"/>
        <w:jc w:val="both"/>
        <w:rPr>
          <w:sz w:val="28"/>
          <w:szCs w:val="28"/>
        </w:rPr>
      </w:pPr>
      <w:r w:rsidRPr="0056756B">
        <w:rPr>
          <w:sz w:val="28"/>
          <w:szCs w:val="28"/>
        </w:rPr>
        <w:t>авторлық құқық объектілеріне меншік құқығын мемлекеттік тіркеу туралы 3 куәлік: №3369 (13.11.2022 ж.), №50524 (17.10.2024 ж.), №50525 (17.10.2024 ж.) (В қосымша)</w:t>
      </w:r>
      <w:r w:rsidR="002D55AA">
        <w:rPr>
          <w:sz w:val="28"/>
          <w:szCs w:val="28"/>
          <w:lang w:val="ru-RU"/>
        </w:rPr>
        <w:t>.</w:t>
      </w:r>
    </w:p>
    <w:p w14:paraId="13FBF8C9" w14:textId="77777777" w:rsidR="00617C8D" w:rsidRPr="00617C8D" w:rsidRDefault="00617C8D" w:rsidP="00336AEB">
      <w:pPr>
        <w:pStyle w:val="Default"/>
        <w:ind w:firstLine="720"/>
        <w:jc w:val="both"/>
        <w:rPr>
          <w:sz w:val="28"/>
          <w:szCs w:val="28"/>
        </w:rPr>
      </w:pPr>
      <w:r w:rsidRPr="00617C8D">
        <w:rPr>
          <w:b/>
          <w:bCs/>
          <w:sz w:val="28"/>
          <w:szCs w:val="28"/>
        </w:rPr>
        <w:t xml:space="preserve">Қорытындылар </w:t>
      </w:r>
    </w:p>
    <w:p w14:paraId="4483F044" w14:textId="77777777" w:rsidR="00617C8D" w:rsidRPr="007B702A" w:rsidRDefault="00617C8D" w:rsidP="00336AEB">
      <w:pPr>
        <w:pStyle w:val="Default"/>
        <w:ind w:firstLine="720"/>
        <w:jc w:val="both"/>
        <w:rPr>
          <w:sz w:val="28"/>
          <w:szCs w:val="28"/>
        </w:rPr>
      </w:pPr>
      <w:r w:rsidRPr="007B702A">
        <w:rPr>
          <w:sz w:val="28"/>
          <w:szCs w:val="28"/>
        </w:rPr>
        <w:t xml:space="preserve">Зерттеу негізінде келесі тұжырымдар жасалды: </w:t>
      </w:r>
    </w:p>
    <w:p w14:paraId="2D914779" w14:textId="77777777" w:rsidR="00C70044" w:rsidRPr="005D30FA" w:rsidRDefault="00C70044" w:rsidP="00C70044">
      <w:pPr>
        <w:pStyle w:val="p1"/>
        <w:numPr>
          <w:ilvl w:val="0"/>
          <w:numId w:val="10"/>
        </w:numPr>
        <w:spacing w:before="0" w:beforeAutospacing="0" w:after="0" w:afterAutospacing="0"/>
        <w:ind w:left="0" w:firstLine="709"/>
        <w:jc w:val="both"/>
        <w:rPr>
          <w:sz w:val="28"/>
          <w:szCs w:val="28"/>
        </w:rPr>
      </w:pPr>
      <w:r w:rsidRPr="005D30FA">
        <w:rPr>
          <w:sz w:val="28"/>
          <w:szCs w:val="28"/>
        </w:rPr>
        <w:t>Жарияланымдарға жүргізілген талдау дженериктерді қабылдауға арналған 110 зерттеудің 96-сы (87%) ad hoc сауалнамаларды қолданғанын, ал тек 14-і (13%) ғана валидтелген сауалнамаларға негізделгенін көрсетті, бұл стандартталған сауалнамаларды қолдану қажеттігін айқындайды. Дәрілік заттардың қолжетімділігіне арналған зерттеулердің шамамен үштен бірі репрезентативті емес болған, бұл олардың нәтижелерін жалпылауды шектейді. Сонымен қатар, ДДСҰ/HAI әдіснамасының кеңінен қолданылуына қарамастан, оны орфандық ауруларды емдеуге арналған препараттардың қолжетімділігін бағалау үшін пайдалану шектеулі күйінде қалып отыр, бұл аталған санаттағы дәрілік заттарға қатысты әдістемелік тәсілдерді оңтайландыру қажеттігін растайды.</w:t>
      </w:r>
    </w:p>
    <w:p w14:paraId="396FBA35" w14:textId="77777777" w:rsidR="00C70044" w:rsidRPr="005D30FA" w:rsidRDefault="00C70044" w:rsidP="00C70044">
      <w:pPr>
        <w:pStyle w:val="p1"/>
        <w:numPr>
          <w:ilvl w:val="0"/>
          <w:numId w:val="10"/>
        </w:numPr>
        <w:spacing w:before="0" w:beforeAutospacing="0" w:after="0" w:afterAutospacing="0"/>
        <w:ind w:left="0" w:firstLine="709"/>
        <w:jc w:val="both"/>
        <w:rPr>
          <w:sz w:val="28"/>
          <w:szCs w:val="28"/>
        </w:rPr>
      </w:pPr>
      <w:r w:rsidRPr="005D30FA">
        <w:rPr>
          <w:sz w:val="28"/>
          <w:szCs w:val="28"/>
        </w:rPr>
        <w:t>Дәрігерлерге жүргізілген сауалнама нәтижелері (n = 336) қанағаттанарлық психометриялық қасиеттерді көрсетті: «Ақпараттану/Көзқарас» екі факторлы моделі CFA арқылы расталды, факторлық жүктемелердің басым бөлігі 0,4-тен жоғары болды, факторлар ковариациясы 0,60–0,78 аралығында (p &lt; 0,001) анықталды. Пациенттерге арналған сауалнама лингвистикалық аудару арқылы бейімделді.</w:t>
      </w:r>
    </w:p>
    <w:p w14:paraId="645AC16A" w14:textId="77777777" w:rsidR="00C70044" w:rsidRPr="005D30FA" w:rsidRDefault="00C70044" w:rsidP="00C70044">
      <w:pPr>
        <w:pStyle w:val="p3"/>
        <w:spacing w:before="0" w:beforeAutospacing="0" w:after="0" w:afterAutospacing="0"/>
        <w:ind w:firstLine="709"/>
        <w:jc w:val="both"/>
        <w:rPr>
          <w:sz w:val="28"/>
          <w:szCs w:val="28"/>
        </w:rPr>
      </w:pPr>
      <w:r w:rsidRPr="005D30FA">
        <w:rPr>
          <w:sz w:val="28"/>
          <w:szCs w:val="28"/>
        </w:rPr>
        <w:t>Сонымен қатар, орфандық ауруларды емдеуге арналған препараттар мысалында физикалық және экономикалық қолжетімділікті бағалау тәсілдерін оңтайландыру талдау объектісі мен салыстыру базасын өзгертуді, бағалардың референттік анықтамалығын жаңартуды және референттік мәндерден пайыздық ауытқуларды есептеуді қамтыды.</w:t>
      </w:r>
    </w:p>
    <w:p w14:paraId="4DC11875" w14:textId="77777777" w:rsidR="008E4453" w:rsidRPr="008E4453" w:rsidRDefault="00C70044" w:rsidP="008E4453">
      <w:pPr>
        <w:pStyle w:val="p1"/>
        <w:numPr>
          <w:ilvl w:val="0"/>
          <w:numId w:val="11"/>
        </w:numPr>
        <w:spacing w:before="0" w:beforeAutospacing="0" w:after="0" w:afterAutospacing="0"/>
        <w:ind w:left="0" w:firstLine="709"/>
        <w:jc w:val="both"/>
        <w:rPr>
          <w:sz w:val="28"/>
          <w:szCs w:val="28"/>
        </w:rPr>
      </w:pPr>
      <w:r w:rsidRPr="005D30FA">
        <w:rPr>
          <w:sz w:val="28"/>
          <w:szCs w:val="28"/>
        </w:rPr>
        <w:t xml:space="preserve">Қазақстан Республикасы дәрігерлерінің дженериктер туралы ақпараттану деңгейі жоғары (57,8%) екендігі анықталды, алайда олардың тиімділігі мен қауіпсіздігіне деген сенімсіздік те айтарлықтай деңгейде сақталған: 44,9% олардың тиімділігіне, 32% қауіпсіздігіне күмән келтіреді. Пациенттердің ақпараттану деңгейі төмен (41,1%), 43,2% сенімсіздік </w:t>
      </w:r>
      <w:r w:rsidRPr="005D30FA">
        <w:rPr>
          <w:sz w:val="28"/>
          <w:szCs w:val="28"/>
        </w:rPr>
        <w:lastRenderedPageBreak/>
        <w:t>себебінен дженериктерді қолданудан бас тартады, ал 25% ақпараттың жеткіліксіздігін көрсетеді. Пациенттер үшін негізгі ақпарат көзі — медицина қызметкерлері (58,4%).</w:t>
      </w:r>
    </w:p>
    <w:p w14:paraId="2AB3AB24" w14:textId="77777777" w:rsidR="008E4453" w:rsidRPr="008E4453" w:rsidRDefault="008E4453" w:rsidP="008E4453">
      <w:pPr>
        <w:pStyle w:val="p1"/>
        <w:numPr>
          <w:ilvl w:val="0"/>
          <w:numId w:val="11"/>
        </w:numPr>
        <w:spacing w:before="0" w:beforeAutospacing="0" w:after="0" w:afterAutospacing="0"/>
        <w:ind w:left="0" w:firstLine="709"/>
        <w:jc w:val="both"/>
        <w:rPr>
          <w:sz w:val="28"/>
          <w:szCs w:val="28"/>
        </w:rPr>
      </w:pPr>
      <w:r w:rsidRPr="008E4453">
        <w:rPr>
          <w:sz w:val="28"/>
          <w:szCs w:val="28"/>
        </w:rPr>
        <w:t>Қазақстан Республикасында жетім дәрілік заттардың физикалық (ассортименттік) қолжетімділігі шектеулі болып қалуда. Қазақстандық ұлттық формулярға енгізілу үлесі жоғары болғанына қарамастан (79,6%; n=121/152), нақты қолжетімділік төмен: тіркеу деңгейі 61,2% (n=93/152), дженериктердің үлесі — 36,8% (n=56/152), амбулаториялық дәрілік қамтамасыз ету қамтуы — 46,7% (n=71/152).</w:t>
      </w:r>
    </w:p>
    <w:p w14:paraId="6E1C904A" w14:textId="77777777" w:rsidR="008E4453" w:rsidRPr="008E4453" w:rsidRDefault="008E4453" w:rsidP="008E4453">
      <w:pPr>
        <w:pStyle w:val="p1"/>
        <w:spacing w:before="0" w:beforeAutospacing="0" w:after="0" w:afterAutospacing="0"/>
        <w:ind w:firstLine="360"/>
        <w:jc w:val="both"/>
        <w:rPr>
          <w:sz w:val="28"/>
          <w:szCs w:val="28"/>
        </w:rPr>
      </w:pPr>
      <w:r w:rsidRPr="008E4453">
        <w:rPr>
          <w:sz w:val="28"/>
          <w:szCs w:val="28"/>
        </w:rPr>
        <w:t>Халықаралық реттеуші тәжірибелермен салыстырмалы талдау толық интеграцияның жоқтығын көрсетеді: ЕО тізімімен сәйкестік — 30,3% (n=46/152), FDA — 72,4% (n=110/152), бұл ретте халықаралық жетім дәрілік заттардың жалпы қамтылуы төмен деңгейде қалып отыр — тиісінше 11,6% және 14,8%.</w:t>
      </w:r>
    </w:p>
    <w:p w14:paraId="7587E8B2" w14:textId="0F453C07" w:rsidR="008E4453" w:rsidRPr="008E4453" w:rsidRDefault="008E4453" w:rsidP="008E4453">
      <w:pPr>
        <w:pStyle w:val="p1"/>
        <w:spacing w:before="0" w:beforeAutospacing="0" w:after="0" w:afterAutospacing="0"/>
        <w:ind w:firstLine="360"/>
        <w:jc w:val="both"/>
        <w:rPr>
          <w:sz w:val="28"/>
          <w:szCs w:val="28"/>
        </w:rPr>
      </w:pPr>
      <w:r w:rsidRPr="008E4453">
        <w:rPr>
          <w:sz w:val="28"/>
          <w:szCs w:val="28"/>
        </w:rPr>
        <w:t>Дәрілік заттардың экономикалық қолжетімділігін талдау нәтижесінде сатып алу бағаларының орта есеппен референттік бағалардан 28,26%-ға төмен екені анықталды, алайда олар жоғары вариабельділікпен сипатталады.</w:t>
      </w:r>
    </w:p>
    <w:p w14:paraId="0760E796" w14:textId="77777777" w:rsidR="00C70044" w:rsidRPr="00C70044" w:rsidRDefault="00C70044" w:rsidP="00C70044">
      <w:pPr>
        <w:pStyle w:val="p1"/>
        <w:numPr>
          <w:ilvl w:val="0"/>
          <w:numId w:val="11"/>
        </w:numPr>
        <w:spacing w:before="0" w:beforeAutospacing="0" w:after="0" w:afterAutospacing="0"/>
        <w:ind w:left="0" w:firstLine="709"/>
        <w:jc w:val="both"/>
        <w:rPr>
          <w:sz w:val="28"/>
          <w:szCs w:val="28"/>
        </w:rPr>
      </w:pPr>
      <w:r w:rsidRPr="005D30FA">
        <w:rPr>
          <w:sz w:val="28"/>
          <w:szCs w:val="28"/>
        </w:rPr>
        <w:t>Әзірленген әдістемелік ұсынымдар дәрілік заттардың қолжетімділігін бағалаудың оңтайландырылған тәсілдеріне негізделген және оларды денсаулық сақтау жүйесінде</w:t>
      </w:r>
      <w:r w:rsidRPr="00C70044">
        <w:rPr>
          <w:sz w:val="28"/>
          <w:szCs w:val="28"/>
        </w:rPr>
        <w:t xml:space="preserve"> практикалық қолдануға бағытталған.</w:t>
      </w:r>
    </w:p>
    <w:p w14:paraId="1874EA8B" w14:textId="55F063EC" w:rsidR="00617C8D" w:rsidRPr="00951F3B" w:rsidRDefault="00951F3B" w:rsidP="00951F3B">
      <w:pPr>
        <w:pStyle w:val="Default"/>
        <w:ind w:firstLine="720"/>
        <w:jc w:val="both"/>
        <w:rPr>
          <w:sz w:val="28"/>
          <w:szCs w:val="28"/>
        </w:rPr>
      </w:pPr>
      <w:r w:rsidRPr="00951F3B">
        <w:rPr>
          <w:sz w:val="28"/>
          <w:szCs w:val="28"/>
        </w:rPr>
        <w:t xml:space="preserve">ПРАКТИКАЛЫҚ ҰСЫНЫСТАР </w:t>
      </w:r>
    </w:p>
    <w:p w14:paraId="727C67D0" w14:textId="77777777" w:rsidR="000B63D5" w:rsidRPr="000B63D5" w:rsidRDefault="000B63D5" w:rsidP="000B63D5">
      <w:pPr>
        <w:pStyle w:val="p1"/>
        <w:numPr>
          <w:ilvl w:val="0"/>
          <w:numId w:val="16"/>
        </w:numPr>
        <w:tabs>
          <w:tab w:val="clear" w:pos="720"/>
          <w:tab w:val="num" w:pos="567"/>
        </w:tabs>
        <w:spacing w:before="0" w:beforeAutospacing="0" w:after="0" w:afterAutospacing="0"/>
        <w:ind w:left="0" w:firstLine="709"/>
        <w:jc w:val="both"/>
        <w:rPr>
          <w:sz w:val="28"/>
          <w:szCs w:val="28"/>
        </w:rPr>
      </w:pPr>
      <w:r w:rsidRPr="000B63D5">
        <w:rPr>
          <w:sz w:val="28"/>
          <w:szCs w:val="28"/>
        </w:rPr>
        <w:t>Қазақстан Республикасында дәрілік заттардың қолжетімділігін бағалау бойынша халықаралық және ұлттық әдістемелік тәсілдерге жүйелі талдау жүргізуді жалғастыру, бірыңғай ұғымдық аппарат қалыптастыру және мониторинг жүргізу үшін салыстырмалы индикаторларды айқындау.</w:t>
      </w:r>
    </w:p>
    <w:p w14:paraId="29A79B90" w14:textId="77777777" w:rsidR="000B63D5" w:rsidRPr="000B63D5" w:rsidRDefault="000B63D5" w:rsidP="000B63D5">
      <w:pPr>
        <w:pStyle w:val="p1"/>
        <w:numPr>
          <w:ilvl w:val="0"/>
          <w:numId w:val="16"/>
        </w:numPr>
        <w:tabs>
          <w:tab w:val="clear" w:pos="720"/>
          <w:tab w:val="num" w:pos="567"/>
        </w:tabs>
        <w:spacing w:before="0" w:beforeAutospacing="0" w:after="0" w:afterAutospacing="0"/>
        <w:ind w:left="0" w:firstLine="709"/>
        <w:jc w:val="both"/>
        <w:rPr>
          <w:sz w:val="28"/>
          <w:szCs w:val="28"/>
        </w:rPr>
      </w:pPr>
      <w:r w:rsidRPr="000B63D5">
        <w:rPr>
          <w:sz w:val="28"/>
          <w:szCs w:val="28"/>
        </w:rPr>
        <w:t>Дәрігерлерге арналған валидтелген сауалнама дженериктер туралы ақпараттану деңгейі мен оларға деген көзқарасты мониторингтеудің стандартты құралы ретінде ұсынылады. Құралдың сенімділігі мен тұрақтылығын арттыру мақсатында оның психометриялық сипаттамаларын нақтылауға бағытталған кең ауқымды зерттеулер жүргізу, сондай-ақ денсаулық сақтау жүйесіндегі және дәрілік тағайындау тәжірибесіндегі өзгерістерді ескере отырып, жүйелі түрде қайта валидациялауды қамтамасыз ету орынды.</w:t>
      </w:r>
    </w:p>
    <w:p w14:paraId="026AFFAA" w14:textId="77777777" w:rsidR="008E4453" w:rsidRPr="008E4453" w:rsidRDefault="000B63D5" w:rsidP="008E4453">
      <w:pPr>
        <w:pStyle w:val="p1"/>
        <w:numPr>
          <w:ilvl w:val="0"/>
          <w:numId w:val="16"/>
        </w:numPr>
        <w:tabs>
          <w:tab w:val="clear" w:pos="720"/>
          <w:tab w:val="num" w:pos="567"/>
        </w:tabs>
        <w:spacing w:before="0" w:beforeAutospacing="0" w:after="0" w:afterAutospacing="0"/>
        <w:ind w:left="0" w:firstLine="709"/>
        <w:jc w:val="both"/>
        <w:rPr>
          <w:sz w:val="28"/>
          <w:szCs w:val="28"/>
        </w:rPr>
      </w:pPr>
      <w:r w:rsidRPr="000B63D5">
        <w:rPr>
          <w:sz w:val="28"/>
          <w:szCs w:val="28"/>
        </w:rPr>
        <w:t>Дженериктер бойынша оқытуды медициналық жоғары оқу орындары мен резидентура бағдарламаларына енгізу болашақ мамандардың тұрақты құзыреттерін қалыптастыруға мүмкіндік береді. Халық арасында дженериктерге деген сенімді нығайту және олардың тиімділігі мен қауіпсіздігі туралы хабардарлық деңгейін арттыру мақсатында ұлттық ақпараттық науқан ұйымдастыруды қарастыру ұсынылады.</w:t>
      </w:r>
    </w:p>
    <w:p w14:paraId="3731A461" w14:textId="77777777" w:rsidR="008E4811" w:rsidRPr="008E4811" w:rsidRDefault="008E4453" w:rsidP="008E4811">
      <w:pPr>
        <w:pStyle w:val="p1"/>
        <w:numPr>
          <w:ilvl w:val="0"/>
          <w:numId w:val="16"/>
        </w:numPr>
        <w:tabs>
          <w:tab w:val="clear" w:pos="720"/>
          <w:tab w:val="num" w:pos="567"/>
        </w:tabs>
        <w:spacing w:before="0" w:beforeAutospacing="0" w:after="0" w:afterAutospacing="0"/>
        <w:ind w:left="0" w:firstLine="709"/>
        <w:jc w:val="both"/>
        <w:rPr>
          <w:sz w:val="28"/>
          <w:szCs w:val="28"/>
        </w:rPr>
      </w:pPr>
      <w:r w:rsidRPr="008E4453">
        <w:rPr>
          <w:sz w:val="28"/>
          <w:szCs w:val="28"/>
        </w:rPr>
        <w:t>Жетім дәрілік заттардың ұлттық тізбесін қайта қарауды Қазақстан Республикасындағы аурушаңдық құрылымы мен өзекті халықаралық деректерге сүйене отырып жүргізу орынды, бұл оның нақты клиникалық қажеттіліктерге сәйкестігін арттыруға мүмкіндік береді.</w:t>
      </w:r>
    </w:p>
    <w:p w14:paraId="453809FD" w14:textId="77777777" w:rsidR="008E4811" w:rsidRPr="008E4811" w:rsidRDefault="008E4811" w:rsidP="008E4811">
      <w:pPr>
        <w:pStyle w:val="p1"/>
        <w:spacing w:before="0" w:beforeAutospacing="0" w:after="0" w:afterAutospacing="0"/>
        <w:ind w:firstLine="709"/>
        <w:jc w:val="both"/>
        <w:rPr>
          <w:sz w:val="28"/>
          <w:szCs w:val="28"/>
        </w:rPr>
      </w:pPr>
      <w:r w:rsidRPr="008E4811">
        <w:rPr>
          <w:sz w:val="28"/>
          <w:szCs w:val="28"/>
        </w:rPr>
        <w:t xml:space="preserve">Баға реттеу тетіктерін жетілдірудің мүмкін құралдарының бірі ретінде </w:t>
      </w:r>
      <w:r w:rsidRPr="008E4811">
        <w:rPr>
          <w:i/>
          <w:iCs/>
          <w:sz w:val="28"/>
          <w:szCs w:val="28"/>
        </w:rPr>
        <w:t>Pharmaceutical Schedule</w:t>
      </w:r>
      <w:r w:rsidRPr="008E4811">
        <w:rPr>
          <w:sz w:val="28"/>
          <w:szCs w:val="28"/>
        </w:rPr>
        <w:t xml:space="preserve"> (Жаңа Зеландия) халықаралық референттік себетке </w:t>
      </w:r>
      <w:r w:rsidRPr="008E4811">
        <w:rPr>
          <w:sz w:val="28"/>
          <w:szCs w:val="28"/>
        </w:rPr>
        <w:lastRenderedPageBreak/>
        <w:t>енгізу мүмкіндігін қарастыру, сондай-ақ референттік баға көздерін тұрақты мониторингтеу және талдау жүргізу ұсынылады.</w:t>
      </w:r>
    </w:p>
    <w:p w14:paraId="55D16888" w14:textId="6D9158F5" w:rsidR="000B63D5" w:rsidRPr="008E4811" w:rsidRDefault="008E4811" w:rsidP="008E4811">
      <w:pPr>
        <w:pStyle w:val="p1"/>
        <w:spacing w:before="0" w:beforeAutospacing="0" w:after="0" w:afterAutospacing="0"/>
        <w:ind w:firstLine="709"/>
        <w:jc w:val="both"/>
        <w:rPr>
          <w:sz w:val="28"/>
          <w:szCs w:val="28"/>
        </w:rPr>
      </w:pPr>
      <w:r w:rsidRPr="008E4811">
        <w:rPr>
          <w:sz w:val="28"/>
          <w:szCs w:val="28"/>
        </w:rPr>
        <w:t>5. Ұсынылған оңтайландырылған әдістемелік тәсілдерді денсаулық сақтау жүйесінің тәжірибесінде дәрілік заттардың қолжетімділігін бағалау мен қамтамасыз етуді жетілдіру, сондай-ақ басқарушылық шешімдердің негізділігін арттыру мақсатында қолдану ұсынылады</w:t>
      </w:r>
      <w:r w:rsidR="000B63D5" w:rsidRPr="008E4811">
        <w:rPr>
          <w:sz w:val="28"/>
          <w:szCs w:val="28"/>
        </w:rPr>
        <w:t>.</w:t>
      </w:r>
    </w:p>
    <w:p w14:paraId="1CAAC1CC" w14:textId="574B5512" w:rsidR="00A41F4E" w:rsidRPr="00A41F4E" w:rsidRDefault="00617C8D" w:rsidP="00A41F4E">
      <w:pPr>
        <w:pStyle w:val="p1"/>
        <w:spacing w:before="0" w:beforeAutospacing="0" w:after="0" w:afterAutospacing="0"/>
        <w:jc w:val="both"/>
        <w:rPr>
          <w:sz w:val="28"/>
          <w:szCs w:val="28"/>
        </w:rPr>
      </w:pPr>
      <w:r w:rsidRPr="00A41F4E">
        <w:rPr>
          <w:b/>
          <w:bCs/>
          <w:sz w:val="28"/>
          <w:szCs w:val="28"/>
        </w:rPr>
        <w:t xml:space="preserve">Диссертацияның көлемі мен құрылымы. </w:t>
      </w:r>
      <w:r w:rsidR="007B702A" w:rsidRPr="00A41F4E">
        <w:rPr>
          <w:sz w:val="28"/>
          <w:szCs w:val="28"/>
        </w:rPr>
        <w:t>Диссертациялық жұмыс</w:t>
      </w:r>
      <w:r w:rsidRPr="00A41F4E">
        <w:rPr>
          <w:sz w:val="28"/>
          <w:szCs w:val="28"/>
        </w:rPr>
        <w:t xml:space="preserve"> 1</w:t>
      </w:r>
      <w:r w:rsidR="008E4453" w:rsidRPr="008E4453">
        <w:rPr>
          <w:sz w:val="28"/>
          <w:szCs w:val="28"/>
        </w:rPr>
        <w:t>76</w:t>
      </w:r>
      <w:r w:rsidR="00A41F4E" w:rsidRPr="00A41F4E">
        <w:rPr>
          <w:sz w:val="28"/>
          <w:szCs w:val="28"/>
        </w:rPr>
        <w:t xml:space="preserve"> </w:t>
      </w:r>
      <w:r w:rsidRPr="00A41F4E">
        <w:rPr>
          <w:sz w:val="28"/>
          <w:szCs w:val="28"/>
        </w:rPr>
        <w:t xml:space="preserve">беттен тұрады, келесі бөлімдерден тұрады: кіріспе, әдебиеттерге шолу, зерттеу материалдары мен әдістері, өзіндік зерттеулердің теориялық және практикалық бөліктері, қорытынды, практикалық ұсыныстар. </w:t>
      </w:r>
      <w:r w:rsidR="00A41F4E" w:rsidRPr="00A41F4E">
        <w:rPr>
          <w:sz w:val="28"/>
          <w:szCs w:val="28"/>
        </w:rPr>
        <w:t>Қолжазба 33 кестемен, 5 суретпен және 7 қосымшамен толықтырылған. Пайдаланылған әдебиеттер тізімі 1</w:t>
      </w:r>
      <w:r w:rsidR="008E4453" w:rsidRPr="008E4453">
        <w:rPr>
          <w:sz w:val="28"/>
          <w:szCs w:val="28"/>
        </w:rPr>
        <w:t>70</w:t>
      </w:r>
      <w:r w:rsidR="00A41F4E" w:rsidRPr="00A41F4E">
        <w:rPr>
          <w:sz w:val="28"/>
          <w:szCs w:val="28"/>
        </w:rPr>
        <w:t xml:space="preserve"> дереккөзді қамтиды, оның ішінде 12</w:t>
      </w:r>
      <w:r w:rsidR="008E4453" w:rsidRPr="00595BA7">
        <w:rPr>
          <w:sz w:val="28"/>
          <w:szCs w:val="28"/>
        </w:rPr>
        <w:t>5</w:t>
      </w:r>
      <w:r w:rsidR="00A41F4E" w:rsidRPr="00A41F4E">
        <w:rPr>
          <w:sz w:val="28"/>
          <w:szCs w:val="28"/>
        </w:rPr>
        <w:t xml:space="preserve"> (73%) – ағылшын тілінде, 27% – орыс тілінде.</w:t>
      </w:r>
    </w:p>
    <w:p w14:paraId="41E28F45" w14:textId="5DD97085" w:rsidR="001C496D" w:rsidRPr="00617C8D" w:rsidRDefault="001C496D" w:rsidP="004A7928">
      <w:pPr>
        <w:pStyle w:val="Default"/>
        <w:ind w:firstLine="720"/>
        <w:jc w:val="both"/>
        <w:rPr>
          <w:sz w:val="28"/>
          <w:szCs w:val="28"/>
        </w:rPr>
      </w:pPr>
    </w:p>
    <w:sectPr w:rsidR="001C496D" w:rsidRPr="00617C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7C5F"/>
    <w:multiLevelType w:val="multilevel"/>
    <w:tmpl w:val="4BC40F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931462"/>
    <w:multiLevelType w:val="multilevel"/>
    <w:tmpl w:val="30DCB7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070F79"/>
    <w:multiLevelType w:val="hybridMultilevel"/>
    <w:tmpl w:val="3216BBD2"/>
    <w:lvl w:ilvl="0" w:tplc="2912FDB8">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C7A0595"/>
    <w:multiLevelType w:val="hybridMultilevel"/>
    <w:tmpl w:val="907A200E"/>
    <w:lvl w:ilvl="0" w:tplc="63504F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9646F64"/>
    <w:multiLevelType w:val="multilevel"/>
    <w:tmpl w:val="496E8E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0E7E26"/>
    <w:multiLevelType w:val="multilevel"/>
    <w:tmpl w:val="A4803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4F46F7"/>
    <w:multiLevelType w:val="multilevel"/>
    <w:tmpl w:val="695EA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840AB3"/>
    <w:multiLevelType w:val="hybridMultilevel"/>
    <w:tmpl w:val="2A042248"/>
    <w:lvl w:ilvl="0" w:tplc="63504F2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17E16B0"/>
    <w:multiLevelType w:val="multilevel"/>
    <w:tmpl w:val="093A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C667F6"/>
    <w:multiLevelType w:val="multilevel"/>
    <w:tmpl w:val="47829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F92D30"/>
    <w:multiLevelType w:val="multilevel"/>
    <w:tmpl w:val="AAA28FE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C53280"/>
    <w:multiLevelType w:val="multilevel"/>
    <w:tmpl w:val="16B228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263103"/>
    <w:multiLevelType w:val="multilevel"/>
    <w:tmpl w:val="F33CF6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BB664E"/>
    <w:multiLevelType w:val="hybridMultilevel"/>
    <w:tmpl w:val="3850A32E"/>
    <w:lvl w:ilvl="0" w:tplc="63504F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99E2759"/>
    <w:multiLevelType w:val="multilevel"/>
    <w:tmpl w:val="8FE00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766EEB"/>
    <w:multiLevelType w:val="multilevel"/>
    <w:tmpl w:val="06880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8942231">
    <w:abstractNumId w:val="0"/>
  </w:num>
  <w:num w:numId="2" w16cid:durableId="1124419889">
    <w:abstractNumId w:val="15"/>
  </w:num>
  <w:num w:numId="3" w16cid:durableId="1172262891">
    <w:abstractNumId w:val="6"/>
  </w:num>
  <w:num w:numId="4" w16cid:durableId="692848980">
    <w:abstractNumId w:val="4"/>
  </w:num>
  <w:num w:numId="5" w16cid:durableId="1187475852">
    <w:abstractNumId w:val="1"/>
  </w:num>
  <w:num w:numId="6" w16cid:durableId="1561014966">
    <w:abstractNumId w:val="11"/>
  </w:num>
  <w:num w:numId="7" w16cid:durableId="1815297195">
    <w:abstractNumId w:val="8"/>
  </w:num>
  <w:num w:numId="8" w16cid:durableId="1077288279">
    <w:abstractNumId w:val="10"/>
  </w:num>
  <w:num w:numId="9" w16cid:durableId="2107770220">
    <w:abstractNumId w:val="14"/>
  </w:num>
  <w:num w:numId="10" w16cid:durableId="419181423">
    <w:abstractNumId w:val="9"/>
  </w:num>
  <w:num w:numId="11" w16cid:durableId="2031909647">
    <w:abstractNumId w:val="12"/>
  </w:num>
  <w:num w:numId="12" w16cid:durableId="2085761559">
    <w:abstractNumId w:val="7"/>
  </w:num>
  <w:num w:numId="13" w16cid:durableId="200166325">
    <w:abstractNumId w:val="2"/>
  </w:num>
  <w:num w:numId="14" w16cid:durableId="307781937">
    <w:abstractNumId w:val="13"/>
  </w:num>
  <w:num w:numId="15" w16cid:durableId="1354725905">
    <w:abstractNumId w:val="3"/>
  </w:num>
  <w:num w:numId="16" w16cid:durableId="12132321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331"/>
    <w:rsid w:val="00003331"/>
    <w:rsid w:val="00004E4F"/>
    <w:rsid w:val="00014DAA"/>
    <w:rsid w:val="000217EA"/>
    <w:rsid w:val="00065DA3"/>
    <w:rsid w:val="00090D21"/>
    <w:rsid w:val="000B63D5"/>
    <w:rsid w:val="000B7E86"/>
    <w:rsid w:val="000F23E4"/>
    <w:rsid w:val="000F6DBB"/>
    <w:rsid w:val="001026F5"/>
    <w:rsid w:val="00113EF6"/>
    <w:rsid w:val="00126A03"/>
    <w:rsid w:val="00131E39"/>
    <w:rsid w:val="00153860"/>
    <w:rsid w:val="001660C7"/>
    <w:rsid w:val="00170AAF"/>
    <w:rsid w:val="00187BEC"/>
    <w:rsid w:val="001C496D"/>
    <w:rsid w:val="001F6C53"/>
    <w:rsid w:val="00213ADC"/>
    <w:rsid w:val="002378AB"/>
    <w:rsid w:val="00282B67"/>
    <w:rsid w:val="002A4E4B"/>
    <w:rsid w:val="002C18DD"/>
    <w:rsid w:val="002C4741"/>
    <w:rsid w:val="002D55AA"/>
    <w:rsid w:val="002F296D"/>
    <w:rsid w:val="00313EA1"/>
    <w:rsid w:val="00314AE1"/>
    <w:rsid w:val="003250BA"/>
    <w:rsid w:val="0032774F"/>
    <w:rsid w:val="00336AEB"/>
    <w:rsid w:val="00346EE9"/>
    <w:rsid w:val="0035304B"/>
    <w:rsid w:val="00357FA0"/>
    <w:rsid w:val="0037501B"/>
    <w:rsid w:val="00380BBF"/>
    <w:rsid w:val="003834EA"/>
    <w:rsid w:val="003D2D1E"/>
    <w:rsid w:val="003E4886"/>
    <w:rsid w:val="00400F26"/>
    <w:rsid w:val="004452A2"/>
    <w:rsid w:val="004461B7"/>
    <w:rsid w:val="00446758"/>
    <w:rsid w:val="00460886"/>
    <w:rsid w:val="0047220B"/>
    <w:rsid w:val="004A7928"/>
    <w:rsid w:val="00501565"/>
    <w:rsid w:val="0055190A"/>
    <w:rsid w:val="0056756B"/>
    <w:rsid w:val="005932CA"/>
    <w:rsid w:val="00595BA7"/>
    <w:rsid w:val="005C1E05"/>
    <w:rsid w:val="005C549B"/>
    <w:rsid w:val="005D30FA"/>
    <w:rsid w:val="005E50B3"/>
    <w:rsid w:val="005F3F36"/>
    <w:rsid w:val="00610645"/>
    <w:rsid w:val="006118F2"/>
    <w:rsid w:val="006129D0"/>
    <w:rsid w:val="00617C8D"/>
    <w:rsid w:val="00623E86"/>
    <w:rsid w:val="0062671B"/>
    <w:rsid w:val="00680239"/>
    <w:rsid w:val="00682188"/>
    <w:rsid w:val="00684300"/>
    <w:rsid w:val="006D73DE"/>
    <w:rsid w:val="00742561"/>
    <w:rsid w:val="007725A3"/>
    <w:rsid w:val="00775A8E"/>
    <w:rsid w:val="00785E07"/>
    <w:rsid w:val="007A4FED"/>
    <w:rsid w:val="007B0B0C"/>
    <w:rsid w:val="007B702A"/>
    <w:rsid w:val="00812301"/>
    <w:rsid w:val="0082283A"/>
    <w:rsid w:val="00830542"/>
    <w:rsid w:val="00834CDC"/>
    <w:rsid w:val="008619DA"/>
    <w:rsid w:val="00870FC2"/>
    <w:rsid w:val="008B4678"/>
    <w:rsid w:val="008C0CF9"/>
    <w:rsid w:val="008C7863"/>
    <w:rsid w:val="008E4453"/>
    <w:rsid w:val="008E4811"/>
    <w:rsid w:val="009154C2"/>
    <w:rsid w:val="00931AE8"/>
    <w:rsid w:val="00951F3B"/>
    <w:rsid w:val="00975DF0"/>
    <w:rsid w:val="00994510"/>
    <w:rsid w:val="009A5F8B"/>
    <w:rsid w:val="009E1331"/>
    <w:rsid w:val="009F72FA"/>
    <w:rsid w:val="00A255C1"/>
    <w:rsid w:val="00A4189C"/>
    <w:rsid w:val="00A41F4E"/>
    <w:rsid w:val="00A4762F"/>
    <w:rsid w:val="00A552FC"/>
    <w:rsid w:val="00A818E7"/>
    <w:rsid w:val="00AA5899"/>
    <w:rsid w:val="00AC10E1"/>
    <w:rsid w:val="00AD16E3"/>
    <w:rsid w:val="00AE1900"/>
    <w:rsid w:val="00AE3AF7"/>
    <w:rsid w:val="00B03BF4"/>
    <w:rsid w:val="00B26F05"/>
    <w:rsid w:val="00B3237C"/>
    <w:rsid w:val="00B36958"/>
    <w:rsid w:val="00B6314E"/>
    <w:rsid w:val="00B7631D"/>
    <w:rsid w:val="00B959AC"/>
    <w:rsid w:val="00BE5BC5"/>
    <w:rsid w:val="00BF3BF4"/>
    <w:rsid w:val="00BF7044"/>
    <w:rsid w:val="00C12419"/>
    <w:rsid w:val="00C361AB"/>
    <w:rsid w:val="00C56AAC"/>
    <w:rsid w:val="00C70044"/>
    <w:rsid w:val="00C735F4"/>
    <w:rsid w:val="00C7442E"/>
    <w:rsid w:val="00C86ECA"/>
    <w:rsid w:val="00CC0EE2"/>
    <w:rsid w:val="00CD50F9"/>
    <w:rsid w:val="00CE25AC"/>
    <w:rsid w:val="00CE40CE"/>
    <w:rsid w:val="00D31B21"/>
    <w:rsid w:val="00D46589"/>
    <w:rsid w:val="00D5042C"/>
    <w:rsid w:val="00D73015"/>
    <w:rsid w:val="00D85C09"/>
    <w:rsid w:val="00D92E94"/>
    <w:rsid w:val="00DF726F"/>
    <w:rsid w:val="00E05362"/>
    <w:rsid w:val="00E3559C"/>
    <w:rsid w:val="00E45FC4"/>
    <w:rsid w:val="00E56216"/>
    <w:rsid w:val="00E67D2E"/>
    <w:rsid w:val="00E874D6"/>
    <w:rsid w:val="00F65CBD"/>
    <w:rsid w:val="00F917BD"/>
    <w:rsid w:val="00FA098C"/>
    <w:rsid w:val="00FB0397"/>
    <w:rsid w:val="00FB4277"/>
    <w:rsid w:val="00FC5FB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707D0"/>
  <w15:chartTrackingRefBased/>
  <w15:docId w15:val="{FE2A2500-C0B9-48F1-899A-73B9FB81B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E13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E13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E133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E133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E133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E133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E133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E133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E133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133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E133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E133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E133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E133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E133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E1331"/>
    <w:rPr>
      <w:rFonts w:eastAsiaTheme="majorEastAsia" w:cstheme="majorBidi"/>
      <w:color w:val="595959" w:themeColor="text1" w:themeTint="A6"/>
    </w:rPr>
  </w:style>
  <w:style w:type="character" w:customStyle="1" w:styleId="80">
    <w:name w:val="Заголовок 8 Знак"/>
    <w:basedOn w:val="a0"/>
    <w:link w:val="8"/>
    <w:uiPriority w:val="9"/>
    <w:semiHidden/>
    <w:rsid w:val="009E133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E1331"/>
    <w:rPr>
      <w:rFonts w:eastAsiaTheme="majorEastAsia" w:cstheme="majorBidi"/>
      <w:color w:val="272727" w:themeColor="text1" w:themeTint="D8"/>
    </w:rPr>
  </w:style>
  <w:style w:type="paragraph" w:styleId="a3">
    <w:name w:val="Title"/>
    <w:basedOn w:val="a"/>
    <w:next w:val="a"/>
    <w:link w:val="a4"/>
    <w:uiPriority w:val="10"/>
    <w:qFormat/>
    <w:rsid w:val="009E1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E13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33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E133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E1331"/>
    <w:pPr>
      <w:spacing w:before="160"/>
      <w:jc w:val="center"/>
    </w:pPr>
    <w:rPr>
      <w:i/>
      <w:iCs/>
      <w:color w:val="404040" w:themeColor="text1" w:themeTint="BF"/>
    </w:rPr>
  </w:style>
  <w:style w:type="character" w:customStyle="1" w:styleId="22">
    <w:name w:val="Цитата 2 Знак"/>
    <w:basedOn w:val="a0"/>
    <w:link w:val="21"/>
    <w:uiPriority w:val="29"/>
    <w:rsid w:val="009E1331"/>
    <w:rPr>
      <w:i/>
      <w:iCs/>
      <w:color w:val="404040" w:themeColor="text1" w:themeTint="BF"/>
    </w:rPr>
  </w:style>
  <w:style w:type="paragraph" w:styleId="a7">
    <w:name w:val="List Paragraph"/>
    <w:basedOn w:val="a"/>
    <w:uiPriority w:val="34"/>
    <w:qFormat/>
    <w:rsid w:val="009E1331"/>
    <w:pPr>
      <w:ind w:left="720"/>
      <w:contextualSpacing/>
    </w:pPr>
  </w:style>
  <w:style w:type="character" w:styleId="a8">
    <w:name w:val="Intense Emphasis"/>
    <w:basedOn w:val="a0"/>
    <w:uiPriority w:val="21"/>
    <w:qFormat/>
    <w:rsid w:val="009E1331"/>
    <w:rPr>
      <w:i/>
      <w:iCs/>
      <w:color w:val="2F5496" w:themeColor="accent1" w:themeShade="BF"/>
    </w:rPr>
  </w:style>
  <w:style w:type="paragraph" w:styleId="a9">
    <w:name w:val="Intense Quote"/>
    <w:basedOn w:val="a"/>
    <w:next w:val="a"/>
    <w:link w:val="aa"/>
    <w:uiPriority w:val="30"/>
    <w:qFormat/>
    <w:rsid w:val="009E13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E1331"/>
    <w:rPr>
      <w:i/>
      <w:iCs/>
      <w:color w:val="2F5496" w:themeColor="accent1" w:themeShade="BF"/>
    </w:rPr>
  </w:style>
  <w:style w:type="character" w:styleId="ab">
    <w:name w:val="Intense Reference"/>
    <w:basedOn w:val="a0"/>
    <w:uiPriority w:val="32"/>
    <w:qFormat/>
    <w:rsid w:val="009E1331"/>
    <w:rPr>
      <w:b/>
      <w:bCs/>
      <w:smallCaps/>
      <w:color w:val="2F5496" w:themeColor="accent1" w:themeShade="BF"/>
      <w:spacing w:val="5"/>
    </w:rPr>
  </w:style>
  <w:style w:type="paragraph" w:customStyle="1" w:styleId="Default">
    <w:name w:val="Default"/>
    <w:rsid w:val="00617C8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p1">
    <w:name w:val="p1"/>
    <w:basedOn w:val="a"/>
    <w:rsid w:val="00D31B2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p2">
    <w:name w:val="p2"/>
    <w:basedOn w:val="a"/>
    <w:rsid w:val="00D31B21"/>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p3">
    <w:name w:val="p3"/>
    <w:basedOn w:val="a"/>
    <w:rsid w:val="005C1E0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pple-converted-space">
    <w:name w:val="apple-converted-space"/>
    <w:basedOn w:val="a0"/>
    <w:rsid w:val="000B63D5"/>
  </w:style>
  <w:style w:type="character" w:customStyle="1" w:styleId="s1">
    <w:name w:val="s1"/>
    <w:basedOn w:val="a0"/>
    <w:rsid w:val="00E45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4483">
      <w:bodyDiv w:val="1"/>
      <w:marLeft w:val="0"/>
      <w:marRight w:val="0"/>
      <w:marTop w:val="0"/>
      <w:marBottom w:val="0"/>
      <w:divBdr>
        <w:top w:val="none" w:sz="0" w:space="0" w:color="auto"/>
        <w:left w:val="none" w:sz="0" w:space="0" w:color="auto"/>
        <w:bottom w:val="none" w:sz="0" w:space="0" w:color="auto"/>
        <w:right w:val="none" w:sz="0" w:space="0" w:color="auto"/>
      </w:divBdr>
    </w:div>
    <w:div w:id="361512599">
      <w:bodyDiv w:val="1"/>
      <w:marLeft w:val="0"/>
      <w:marRight w:val="0"/>
      <w:marTop w:val="0"/>
      <w:marBottom w:val="0"/>
      <w:divBdr>
        <w:top w:val="none" w:sz="0" w:space="0" w:color="auto"/>
        <w:left w:val="none" w:sz="0" w:space="0" w:color="auto"/>
        <w:bottom w:val="none" w:sz="0" w:space="0" w:color="auto"/>
        <w:right w:val="none" w:sz="0" w:space="0" w:color="auto"/>
      </w:divBdr>
    </w:div>
    <w:div w:id="366806369">
      <w:bodyDiv w:val="1"/>
      <w:marLeft w:val="0"/>
      <w:marRight w:val="0"/>
      <w:marTop w:val="0"/>
      <w:marBottom w:val="0"/>
      <w:divBdr>
        <w:top w:val="none" w:sz="0" w:space="0" w:color="auto"/>
        <w:left w:val="none" w:sz="0" w:space="0" w:color="auto"/>
        <w:bottom w:val="none" w:sz="0" w:space="0" w:color="auto"/>
        <w:right w:val="none" w:sz="0" w:space="0" w:color="auto"/>
      </w:divBdr>
    </w:div>
    <w:div w:id="370767900">
      <w:bodyDiv w:val="1"/>
      <w:marLeft w:val="0"/>
      <w:marRight w:val="0"/>
      <w:marTop w:val="0"/>
      <w:marBottom w:val="0"/>
      <w:divBdr>
        <w:top w:val="none" w:sz="0" w:space="0" w:color="auto"/>
        <w:left w:val="none" w:sz="0" w:space="0" w:color="auto"/>
        <w:bottom w:val="none" w:sz="0" w:space="0" w:color="auto"/>
        <w:right w:val="none" w:sz="0" w:space="0" w:color="auto"/>
      </w:divBdr>
    </w:div>
    <w:div w:id="378627646">
      <w:bodyDiv w:val="1"/>
      <w:marLeft w:val="0"/>
      <w:marRight w:val="0"/>
      <w:marTop w:val="0"/>
      <w:marBottom w:val="0"/>
      <w:divBdr>
        <w:top w:val="none" w:sz="0" w:space="0" w:color="auto"/>
        <w:left w:val="none" w:sz="0" w:space="0" w:color="auto"/>
        <w:bottom w:val="none" w:sz="0" w:space="0" w:color="auto"/>
        <w:right w:val="none" w:sz="0" w:space="0" w:color="auto"/>
      </w:divBdr>
    </w:div>
    <w:div w:id="469443739">
      <w:bodyDiv w:val="1"/>
      <w:marLeft w:val="0"/>
      <w:marRight w:val="0"/>
      <w:marTop w:val="0"/>
      <w:marBottom w:val="0"/>
      <w:divBdr>
        <w:top w:val="none" w:sz="0" w:space="0" w:color="auto"/>
        <w:left w:val="none" w:sz="0" w:space="0" w:color="auto"/>
        <w:bottom w:val="none" w:sz="0" w:space="0" w:color="auto"/>
        <w:right w:val="none" w:sz="0" w:space="0" w:color="auto"/>
      </w:divBdr>
    </w:div>
    <w:div w:id="586424303">
      <w:bodyDiv w:val="1"/>
      <w:marLeft w:val="0"/>
      <w:marRight w:val="0"/>
      <w:marTop w:val="0"/>
      <w:marBottom w:val="0"/>
      <w:divBdr>
        <w:top w:val="none" w:sz="0" w:space="0" w:color="auto"/>
        <w:left w:val="none" w:sz="0" w:space="0" w:color="auto"/>
        <w:bottom w:val="none" w:sz="0" w:space="0" w:color="auto"/>
        <w:right w:val="none" w:sz="0" w:space="0" w:color="auto"/>
      </w:divBdr>
    </w:div>
    <w:div w:id="672298958">
      <w:bodyDiv w:val="1"/>
      <w:marLeft w:val="0"/>
      <w:marRight w:val="0"/>
      <w:marTop w:val="0"/>
      <w:marBottom w:val="0"/>
      <w:divBdr>
        <w:top w:val="none" w:sz="0" w:space="0" w:color="auto"/>
        <w:left w:val="none" w:sz="0" w:space="0" w:color="auto"/>
        <w:bottom w:val="none" w:sz="0" w:space="0" w:color="auto"/>
        <w:right w:val="none" w:sz="0" w:space="0" w:color="auto"/>
      </w:divBdr>
    </w:div>
    <w:div w:id="813252093">
      <w:bodyDiv w:val="1"/>
      <w:marLeft w:val="0"/>
      <w:marRight w:val="0"/>
      <w:marTop w:val="0"/>
      <w:marBottom w:val="0"/>
      <w:divBdr>
        <w:top w:val="none" w:sz="0" w:space="0" w:color="auto"/>
        <w:left w:val="none" w:sz="0" w:space="0" w:color="auto"/>
        <w:bottom w:val="none" w:sz="0" w:space="0" w:color="auto"/>
        <w:right w:val="none" w:sz="0" w:space="0" w:color="auto"/>
      </w:divBdr>
    </w:div>
    <w:div w:id="961689978">
      <w:bodyDiv w:val="1"/>
      <w:marLeft w:val="0"/>
      <w:marRight w:val="0"/>
      <w:marTop w:val="0"/>
      <w:marBottom w:val="0"/>
      <w:divBdr>
        <w:top w:val="none" w:sz="0" w:space="0" w:color="auto"/>
        <w:left w:val="none" w:sz="0" w:space="0" w:color="auto"/>
        <w:bottom w:val="none" w:sz="0" w:space="0" w:color="auto"/>
        <w:right w:val="none" w:sz="0" w:space="0" w:color="auto"/>
      </w:divBdr>
    </w:div>
    <w:div w:id="991912503">
      <w:bodyDiv w:val="1"/>
      <w:marLeft w:val="0"/>
      <w:marRight w:val="0"/>
      <w:marTop w:val="0"/>
      <w:marBottom w:val="0"/>
      <w:divBdr>
        <w:top w:val="none" w:sz="0" w:space="0" w:color="auto"/>
        <w:left w:val="none" w:sz="0" w:space="0" w:color="auto"/>
        <w:bottom w:val="none" w:sz="0" w:space="0" w:color="auto"/>
        <w:right w:val="none" w:sz="0" w:space="0" w:color="auto"/>
      </w:divBdr>
    </w:div>
    <w:div w:id="1099374553">
      <w:bodyDiv w:val="1"/>
      <w:marLeft w:val="0"/>
      <w:marRight w:val="0"/>
      <w:marTop w:val="0"/>
      <w:marBottom w:val="0"/>
      <w:divBdr>
        <w:top w:val="none" w:sz="0" w:space="0" w:color="auto"/>
        <w:left w:val="none" w:sz="0" w:space="0" w:color="auto"/>
        <w:bottom w:val="none" w:sz="0" w:space="0" w:color="auto"/>
        <w:right w:val="none" w:sz="0" w:space="0" w:color="auto"/>
      </w:divBdr>
    </w:div>
    <w:div w:id="1516189907">
      <w:bodyDiv w:val="1"/>
      <w:marLeft w:val="0"/>
      <w:marRight w:val="0"/>
      <w:marTop w:val="0"/>
      <w:marBottom w:val="0"/>
      <w:divBdr>
        <w:top w:val="none" w:sz="0" w:space="0" w:color="auto"/>
        <w:left w:val="none" w:sz="0" w:space="0" w:color="auto"/>
        <w:bottom w:val="none" w:sz="0" w:space="0" w:color="auto"/>
        <w:right w:val="none" w:sz="0" w:space="0" w:color="auto"/>
      </w:divBdr>
    </w:div>
    <w:div w:id="1612739823">
      <w:bodyDiv w:val="1"/>
      <w:marLeft w:val="0"/>
      <w:marRight w:val="0"/>
      <w:marTop w:val="0"/>
      <w:marBottom w:val="0"/>
      <w:divBdr>
        <w:top w:val="none" w:sz="0" w:space="0" w:color="auto"/>
        <w:left w:val="none" w:sz="0" w:space="0" w:color="auto"/>
        <w:bottom w:val="none" w:sz="0" w:space="0" w:color="auto"/>
        <w:right w:val="none" w:sz="0" w:space="0" w:color="auto"/>
      </w:divBdr>
    </w:div>
    <w:div w:id="1656685474">
      <w:bodyDiv w:val="1"/>
      <w:marLeft w:val="0"/>
      <w:marRight w:val="0"/>
      <w:marTop w:val="0"/>
      <w:marBottom w:val="0"/>
      <w:divBdr>
        <w:top w:val="none" w:sz="0" w:space="0" w:color="auto"/>
        <w:left w:val="none" w:sz="0" w:space="0" w:color="auto"/>
        <w:bottom w:val="none" w:sz="0" w:space="0" w:color="auto"/>
        <w:right w:val="none" w:sz="0" w:space="0" w:color="auto"/>
      </w:divBdr>
    </w:div>
    <w:div w:id="1840608688">
      <w:bodyDiv w:val="1"/>
      <w:marLeft w:val="0"/>
      <w:marRight w:val="0"/>
      <w:marTop w:val="0"/>
      <w:marBottom w:val="0"/>
      <w:divBdr>
        <w:top w:val="none" w:sz="0" w:space="0" w:color="auto"/>
        <w:left w:val="none" w:sz="0" w:space="0" w:color="auto"/>
        <w:bottom w:val="none" w:sz="0" w:space="0" w:color="auto"/>
        <w:right w:val="none" w:sz="0" w:space="0" w:color="auto"/>
      </w:divBdr>
    </w:div>
    <w:div w:id="1893686445">
      <w:bodyDiv w:val="1"/>
      <w:marLeft w:val="0"/>
      <w:marRight w:val="0"/>
      <w:marTop w:val="0"/>
      <w:marBottom w:val="0"/>
      <w:divBdr>
        <w:top w:val="none" w:sz="0" w:space="0" w:color="auto"/>
        <w:left w:val="none" w:sz="0" w:space="0" w:color="auto"/>
        <w:bottom w:val="none" w:sz="0" w:space="0" w:color="auto"/>
        <w:right w:val="none" w:sz="0" w:space="0" w:color="auto"/>
      </w:divBdr>
      <w:divsChild>
        <w:div w:id="1795514187">
          <w:marLeft w:val="0"/>
          <w:marRight w:val="0"/>
          <w:marTop w:val="0"/>
          <w:marBottom w:val="0"/>
          <w:divBdr>
            <w:top w:val="none" w:sz="0" w:space="0" w:color="auto"/>
            <w:left w:val="none" w:sz="0" w:space="0" w:color="auto"/>
            <w:bottom w:val="none" w:sz="0" w:space="0" w:color="auto"/>
            <w:right w:val="none" w:sz="0" w:space="0" w:color="auto"/>
          </w:divBdr>
          <w:divsChild>
            <w:div w:id="1882940529">
              <w:marLeft w:val="0"/>
              <w:marRight w:val="0"/>
              <w:marTop w:val="0"/>
              <w:marBottom w:val="0"/>
              <w:divBdr>
                <w:top w:val="none" w:sz="0" w:space="0" w:color="auto"/>
                <w:left w:val="none" w:sz="0" w:space="0" w:color="auto"/>
                <w:bottom w:val="none" w:sz="0" w:space="0" w:color="auto"/>
                <w:right w:val="none" w:sz="0" w:space="0" w:color="auto"/>
              </w:divBdr>
              <w:divsChild>
                <w:div w:id="149372081">
                  <w:marLeft w:val="0"/>
                  <w:marRight w:val="0"/>
                  <w:marTop w:val="0"/>
                  <w:marBottom w:val="0"/>
                  <w:divBdr>
                    <w:top w:val="none" w:sz="0" w:space="0" w:color="auto"/>
                    <w:left w:val="none" w:sz="0" w:space="0" w:color="auto"/>
                    <w:bottom w:val="none" w:sz="0" w:space="0" w:color="auto"/>
                    <w:right w:val="none" w:sz="0" w:space="0" w:color="auto"/>
                  </w:divBdr>
                  <w:divsChild>
                    <w:div w:id="1812600493">
                      <w:marLeft w:val="0"/>
                      <w:marRight w:val="0"/>
                      <w:marTop w:val="0"/>
                      <w:marBottom w:val="0"/>
                      <w:divBdr>
                        <w:top w:val="none" w:sz="0" w:space="0" w:color="auto"/>
                        <w:left w:val="none" w:sz="0" w:space="0" w:color="auto"/>
                        <w:bottom w:val="none" w:sz="0" w:space="0" w:color="auto"/>
                        <w:right w:val="none" w:sz="0" w:space="0" w:color="auto"/>
                      </w:divBdr>
                      <w:divsChild>
                        <w:div w:id="1376008898">
                          <w:marLeft w:val="0"/>
                          <w:marRight w:val="0"/>
                          <w:marTop w:val="0"/>
                          <w:marBottom w:val="0"/>
                          <w:divBdr>
                            <w:top w:val="none" w:sz="0" w:space="0" w:color="auto"/>
                            <w:left w:val="none" w:sz="0" w:space="0" w:color="auto"/>
                            <w:bottom w:val="none" w:sz="0" w:space="0" w:color="auto"/>
                            <w:right w:val="none" w:sz="0" w:space="0" w:color="auto"/>
                          </w:divBdr>
                          <w:divsChild>
                            <w:div w:id="881751324">
                              <w:marLeft w:val="0"/>
                              <w:marRight w:val="0"/>
                              <w:marTop w:val="0"/>
                              <w:marBottom w:val="0"/>
                              <w:divBdr>
                                <w:top w:val="none" w:sz="0" w:space="0" w:color="auto"/>
                                <w:left w:val="none" w:sz="0" w:space="0" w:color="auto"/>
                                <w:bottom w:val="none" w:sz="0" w:space="0" w:color="auto"/>
                                <w:right w:val="none" w:sz="0" w:space="0" w:color="auto"/>
                              </w:divBdr>
                              <w:divsChild>
                                <w:div w:id="75170143">
                                  <w:marLeft w:val="0"/>
                                  <w:marRight w:val="0"/>
                                  <w:marTop w:val="0"/>
                                  <w:marBottom w:val="0"/>
                                  <w:divBdr>
                                    <w:top w:val="none" w:sz="0" w:space="0" w:color="auto"/>
                                    <w:left w:val="none" w:sz="0" w:space="0" w:color="auto"/>
                                    <w:bottom w:val="none" w:sz="0" w:space="0" w:color="auto"/>
                                    <w:right w:val="none" w:sz="0" w:space="0" w:color="auto"/>
                                  </w:divBdr>
                                  <w:divsChild>
                                    <w:div w:id="155237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714525">
                          <w:marLeft w:val="0"/>
                          <w:marRight w:val="0"/>
                          <w:marTop w:val="0"/>
                          <w:marBottom w:val="0"/>
                          <w:divBdr>
                            <w:top w:val="none" w:sz="0" w:space="0" w:color="auto"/>
                            <w:left w:val="none" w:sz="0" w:space="0" w:color="auto"/>
                            <w:bottom w:val="none" w:sz="0" w:space="0" w:color="auto"/>
                            <w:right w:val="none" w:sz="0" w:space="0" w:color="auto"/>
                          </w:divBdr>
                          <w:divsChild>
                            <w:div w:id="1720396877">
                              <w:marLeft w:val="0"/>
                              <w:marRight w:val="0"/>
                              <w:marTop w:val="0"/>
                              <w:marBottom w:val="0"/>
                              <w:divBdr>
                                <w:top w:val="none" w:sz="0" w:space="0" w:color="auto"/>
                                <w:left w:val="none" w:sz="0" w:space="0" w:color="auto"/>
                                <w:bottom w:val="none" w:sz="0" w:space="0" w:color="auto"/>
                                <w:right w:val="none" w:sz="0" w:space="0" w:color="auto"/>
                              </w:divBdr>
                              <w:divsChild>
                                <w:div w:id="116112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92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hatgpt://generic-entity?number=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9</Pages>
  <Words>2377</Words>
  <Characters>19492</Characters>
  <Application>Microsoft Office Word</Application>
  <DocSecurity>0</DocSecurity>
  <Lines>367</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Dinara Kaliyeva</dc:creator>
  <cp:keywords/>
  <dc:description/>
  <cp:lastModifiedBy>Dinara Kaliyeva</cp:lastModifiedBy>
  <cp:revision>47</cp:revision>
  <dcterms:created xsi:type="dcterms:W3CDTF">2026-02-25T05:21:00Z</dcterms:created>
  <dcterms:modified xsi:type="dcterms:W3CDTF">2026-05-08T10:43:00Z</dcterms:modified>
</cp:coreProperties>
</file>